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04DF" w:rsidRDefault="00C81E56">
      <w:pPr>
        <w:spacing w:before="120" w:after="120"/>
        <w:jc w:val="center"/>
        <w:rPr>
          <w:rFonts w:ascii="Arial" w:eastAsia="Arial" w:hAnsi="Arial" w:cs="Arial"/>
        </w:rPr>
      </w:pPr>
      <w:r>
        <w:rPr>
          <w:rFonts w:ascii="Arial" w:eastAsia="Arial" w:hAnsi="Arial" w:cs="Arial"/>
          <w:b/>
        </w:rPr>
        <w:t>Program na podporu aplikovaného výzkumu, experimentálního vývoje a</w:t>
      </w:r>
      <w:r w:rsidR="00340AB8">
        <w:rPr>
          <w:rFonts w:ascii="Arial" w:eastAsia="Arial" w:hAnsi="Arial" w:cs="Arial"/>
          <w:b/>
        </w:rPr>
        <w:t> </w:t>
      </w:r>
      <w:r>
        <w:rPr>
          <w:rFonts w:ascii="Arial" w:eastAsia="Arial" w:hAnsi="Arial" w:cs="Arial"/>
          <w:b/>
        </w:rPr>
        <w:t>inovací Národní centra kompetence</w:t>
      </w:r>
      <w:r w:rsidR="003D376D">
        <w:rPr>
          <w:rFonts w:ascii="Arial" w:eastAsia="Arial" w:hAnsi="Arial" w:cs="Arial"/>
          <w:b/>
        </w:rPr>
        <w:t xml:space="preserve"> 1</w:t>
      </w:r>
    </w:p>
    <w:p w:rsidR="009C04DF" w:rsidRDefault="00C81E56">
      <w:pPr>
        <w:pStyle w:val="Nadpis1"/>
        <w:numPr>
          <w:ilvl w:val="0"/>
          <w:numId w:val="2"/>
        </w:numPr>
        <w:ind w:hanging="432"/>
        <w:rPr>
          <w:rFonts w:ascii="Arial" w:eastAsia="Arial" w:hAnsi="Arial" w:cs="Arial"/>
        </w:rPr>
      </w:pPr>
      <w:r>
        <w:rPr>
          <w:rFonts w:ascii="Arial" w:eastAsia="Arial" w:hAnsi="Arial" w:cs="Arial"/>
        </w:rPr>
        <w:t>NÁZEV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Program na </w:t>
      </w:r>
      <w:r w:rsidR="00691F33">
        <w:rPr>
          <w:rFonts w:ascii="Arial" w:eastAsia="Arial" w:hAnsi="Arial" w:cs="Arial"/>
          <w:sz w:val="22"/>
          <w:szCs w:val="22"/>
        </w:rPr>
        <w:t xml:space="preserve">podporu </w:t>
      </w:r>
      <w:r>
        <w:rPr>
          <w:rFonts w:ascii="Arial" w:eastAsia="Arial" w:hAnsi="Arial" w:cs="Arial"/>
          <w:sz w:val="22"/>
          <w:szCs w:val="22"/>
        </w:rPr>
        <w:t xml:space="preserve">aplikovaného výzkumu, experimentálního vývoje a inovací Národní centra kompetence </w:t>
      </w:r>
      <w:r w:rsidR="00E42255">
        <w:rPr>
          <w:rFonts w:ascii="Arial" w:eastAsia="Arial" w:hAnsi="Arial" w:cs="Arial"/>
          <w:sz w:val="22"/>
          <w:szCs w:val="22"/>
        </w:rPr>
        <w:t xml:space="preserve">1 </w:t>
      </w:r>
      <w:r>
        <w:rPr>
          <w:rFonts w:ascii="Arial" w:eastAsia="Arial" w:hAnsi="Arial" w:cs="Arial"/>
          <w:sz w:val="22"/>
          <w:szCs w:val="22"/>
        </w:rPr>
        <w:t>(dále jen „program“).</w:t>
      </w:r>
    </w:p>
    <w:p w:rsidR="009C04DF" w:rsidRDefault="00C81E56">
      <w:pPr>
        <w:pStyle w:val="Nadpis1"/>
        <w:numPr>
          <w:ilvl w:val="0"/>
          <w:numId w:val="2"/>
        </w:numPr>
        <w:ind w:hanging="432"/>
        <w:rPr>
          <w:rFonts w:ascii="Arial" w:eastAsia="Arial" w:hAnsi="Arial" w:cs="Arial"/>
        </w:rPr>
      </w:pPr>
      <w:r>
        <w:rPr>
          <w:rFonts w:ascii="Arial" w:eastAsia="Arial" w:hAnsi="Arial" w:cs="Arial"/>
        </w:rPr>
        <w:t>PRÁVNÍ RÁMEC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realizován podle:</w:t>
      </w:r>
    </w:p>
    <w:p w:rsidR="009C04DF" w:rsidRDefault="00C81E56">
      <w:pPr>
        <w:numPr>
          <w:ilvl w:val="0"/>
          <w:numId w:val="1"/>
        </w:numPr>
        <w:spacing w:before="120" w:after="120"/>
        <w:ind w:hanging="360"/>
        <w:jc w:val="both"/>
      </w:pPr>
      <w:r>
        <w:rPr>
          <w:rFonts w:ascii="Arial" w:eastAsia="Arial" w:hAnsi="Arial" w:cs="Arial"/>
          <w:sz w:val="22"/>
          <w:szCs w:val="22"/>
        </w:rPr>
        <w:t xml:space="preserve">Zákona č. 130/2002 Sb., o podpoře výzkumu, experimentálního vývoje a inovací z veřejných prostředků a o změně některých souvisejících zákonů (dále jen “zákon </w:t>
      </w:r>
      <w:r>
        <w:rPr>
          <w:rFonts w:ascii="Arial" w:eastAsia="Arial" w:hAnsi="Arial" w:cs="Arial"/>
          <w:sz w:val="22"/>
          <w:szCs w:val="22"/>
        </w:rPr>
        <w:br/>
        <w:t>o podpoře výzkumu, experimentálního vývoje a inovací”), ve znění pozdějších předpisů;</w:t>
      </w:r>
    </w:p>
    <w:p w:rsidR="009C04DF" w:rsidRDefault="00C81E56">
      <w:pPr>
        <w:numPr>
          <w:ilvl w:val="0"/>
          <w:numId w:val="1"/>
        </w:numPr>
        <w:spacing w:before="120" w:after="120"/>
        <w:ind w:hanging="360"/>
        <w:jc w:val="both"/>
      </w:pPr>
      <w:r>
        <w:rPr>
          <w:rFonts w:ascii="Arial" w:eastAsia="Arial" w:hAnsi="Arial" w:cs="Arial"/>
          <w:sz w:val="22"/>
          <w:szCs w:val="22"/>
        </w:rPr>
        <w:t xml:space="preserve">Smlouvy o fungování Evropské unie 2012/C 326/01, (zejména </w:t>
      </w:r>
      <w:r w:rsidR="00C84B45">
        <w:rPr>
          <w:rFonts w:ascii="Arial" w:eastAsia="Arial" w:hAnsi="Arial" w:cs="Arial"/>
          <w:sz w:val="22"/>
          <w:szCs w:val="22"/>
        </w:rPr>
        <w:t xml:space="preserve">článek </w:t>
      </w:r>
      <w:r>
        <w:rPr>
          <w:rFonts w:ascii="Arial" w:eastAsia="Arial" w:hAnsi="Arial" w:cs="Arial"/>
          <w:sz w:val="22"/>
          <w:szCs w:val="22"/>
        </w:rPr>
        <w:t>107, případně také články 93 a 106);</w:t>
      </w:r>
    </w:p>
    <w:p w:rsidR="009C04DF" w:rsidRDefault="00C81E56">
      <w:pPr>
        <w:numPr>
          <w:ilvl w:val="0"/>
          <w:numId w:val="1"/>
        </w:numPr>
        <w:spacing w:before="120" w:after="120"/>
        <w:ind w:hanging="360"/>
        <w:jc w:val="both"/>
      </w:pPr>
      <w:r>
        <w:rPr>
          <w:rFonts w:ascii="Arial" w:eastAsia="Arial" w:hAnsi="Arial" w:cs="Arial"/>
          <w:sz w:val="22"/>
          <w:szCs w:val="22"/>
        </w:rPr>
        <w:t>Nařízení Komise (EU) č. 651/2014 ze dne 17. června 2014, kterým se v souladu s články 107 a 108 Smlouvy prohlašují určité kategorie podpory za slučitelné s vnitřním trhem - Úřední věstník Evropské unie L 187, 26. června 2014 (dále jen „Nařízení“), zejm. čl. 25, 28 a 29;</w:t>
      </w:r>
    </w:p>
    <w:p w:rsidR="009C04DF" w:rsidRDefault="00C81E56">
      <w:pPr>
        <w:numPr>
          <w:ilvl w:val="0"/>
          <w:numId w:val="1"/>
        </w:numPr>
        <w:spacing w:before="120" w:after="120"/>
        <w:ind w:hanging="360"/>
        <w:jc w:val="both"/>
      </w:pPr>
      <w:r>
        <w:rPr>
          <w:rFonts w:ascii="Arial" w:eastAsia="Arial" w:hAnsi="Arial" w:cs="Arial"/>
          <w:sz w:val="22"/>
          <w:szCs w:val="22"/>
        </w:rPr>
        <w:t xml:space="preserve">Rámce pro státní podporu výzkumu, vývoje a inovací – Úřední věstník Evropské unie </w:t>
      </w:r>
      <w:r>
        <w:rPr>
          <w:rFonts w:ascii="Arial" w:eastAsia="Arial" w:hAnsi="Arial" w:cs="Arial"/>
          <w:sz w:val="22"/>
          <w:szCs w:val="22"/>
        </w:rPr>
        <w:br/>
        <w:t>C 198, 27. června 2014 (dále jen „Rámec“);</w:t>
      </w:r>
    </w:p>
    <w:p w:rsidR="009C04DF" w:rsidRDefault="00C81E56">
      <w:pPr>
        <w:numPr>
          <w:ilvl w:val="0"/>
          <w:numId w:val="1"/>
        </w:numPr>
        <w:spacing w:before="120" w:after="120"/>
        <w:ind w:hanging="360"/>
        <w:jc w:val="both"/>
      </w:pPr>
      <w:r>
        <w:rPr>
          <w:rFonts w:ascii="Arial" w:eastAsia="Arial" w:hAnsi="Arial" w:cs="Arial"/>
          <w:sz w:val="22"/>
          <w:szCs w:val="22"/>
        </w:rPr>
        <w:t>a podle ostatních souvisejících předpisů.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je vyňat z oznamovací povinnosti podle čl. 108 odst. 3 Smlouvy o fungování Evropské unie, neboť splňuje podmínky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rámci tohoto programu je vyloučeno vyplacení jednotlivé podpory ve prospěch podniku:</w:t>
      </w:r>
    </w:p>
    <w:p w:rsidR="009C04DF" w:rsidRDefault="00C81E56">
      <w:pPr>
        <w:numPr>
          <w:ilvl w:val="0"/>
          <w:numId w:val="4"/>
        </w:numPr>
        <w:spacing w:before="120" w:after="120"/>
        <w:ind w:hanging="360"/>
        <w:jc w:val="both"/>
      </w:pPr>
      <w:r>
        <w:rPr>
          <w:rFonts w:ascii="Arial" w:eastAsia="Arial" w:hAnsi="Arial" w:cs="Arial"/>
          <w:sz w:val="22"/>
          <w:szCs w:val="22"/>
        </w:rPr>
        <w:t>vůči němuž byl v návaznosti na rozhodnutí Komise, jímž je podpora prohlášena za protiprávní a neslučitelnou s vnitřním trhem, vystaven inkasní příkaz, který je nesplacený,</w:t>
      </w:r>
    </w:p>
    <w:p w:rsidR="009C04DF" w:rsidRDefault="00C81E56">
      <w:pPr>
        <w:numPr>
          <w:ilvl w:val="0"/>
          <w:numId w:val="4"/>
        </w:numPr>
        <w:spacing w:before="120" w:after="120"/>
        <w:ind w:hanging="360"/>
        <w:jc w:val="both"/>
      </w:pPr>
      <w:r>
        <w:rPr>
          <w:rFonts w:ascii="Arial" w:eastAsia="Arial" w:hAnsi="Arial" w:cs="Arial"/>
          <w:sz w:val="22"/>
          <w:szCs w:val="22"/>
        </w:rPr>
        <w:t>splňujícímu definici podniku v obtížích uvedenou v čl. 2, odst. 18)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realizován v souladu s Národní politikou výzkumu, vývoje a inovací České republiky na léta 2016 až 2020</w:t>
      </w:r>
      <w:r w:rsidR="0052351E">
        <w:rPr>
          <w:rFonts w:ascii="Arial" w:eastAsia="Arial" w:hAnsi="Arial" w:cs="Arial"/>
          <w:sz w:val="22"/>
          <w:szCs w:val="22"/>
        </w:rPr>
        <w:t xml:space="preserve"> (dále také jen „NP VaVaI“)</w:t>
      </w:r>
      <w:r>
        <w:rPr>
          <w:rFonts w:ascii="Arial" w:eastAsia="Arial" w:hAnsi="Arial" w:cs="Arial"/>
          <w:sz w:val="22"/>
          <w:szCs w:val="22"/>
        </w:rPr>
        <w:t>, schválenou usnesením vlády České republiky ze dne 17. února 2016 č. 135, Národními prioritami orientovaného výzkumu, experimentálního vývoje a inovací, které byly přijaty usnesením vlády ze dne 19. července 2012 č. 552 (dále jen „NPOV“), aktualizovanou Národní výzkumnou a inovační strategií pro inteligentní specializaci České republiky, schválenou usnesením vlády České republiky dne 11. července 2016 č. 634, s principy Iniciativy Průmysl 4.0 vzaté na vědomí vládou usnesením č. 729 dne 24. srpna 2016 a dalšími národními a rezortními strategiemi.</w:t>
      </w:r>
    </w:p>
    <w:p w:rsidR="009C04DF" w:rsidRDefault="00C81E56">
      <w:pPr>
        <w:pStyle w:val="Nadpis1"/>
        <w:numPr>
          <w:ilvl w:val="0"/>
          <w:numId w:val="2"/>
        </w:numPr>
        <w:ind w:hanging="432"/>
        <w:rPr>
          <w:rFonts w:ascii="Arial" w:eastAsia="Arial" w:hAnsi="Arial" w:cs="Arial"/>
        </w:rPr>
      </w:pPr>
      <w:r>
        <w:rPr>
          <w:rFonts w:ascii="Arial" w:eastAsia="Arial" w:hAnsi="Arial" w:cs="Arial"/>
        </w:rPr>
        <w:t>POSKYTOVATEL</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Poskytovatelem podpory je Technologická agentura České republiky (dále jen „TA ČR“).</w:t>
      </w:r>
    </w:p>
    <w:p w:rsidR="009C04DF" w:rsidRDefault="00C81E56">
      <w:pPr>
        <w:pStyle w:val="Nadpis1"/>
        <w:numPr>
          <w:ilvl w:val="0"/>
          <w:numId w:val="2"/>
        </w:numPr>
        <w:ind w:hanging="432"/>
        <w:rPr>
          <w:rFonts w:ascii="Arial" w:eastAsia="Arial" w:hAnsi="Arial" w:cs="Arial"/>
        </w:rPr>
      </w:pPr>
      <w:r>
        <w:rPr>
          <w:rFonts w:ascii="Arial" w:eastAsia="Arial" w:hAnsi="Arial" w:cs="Arial"/>
        </w:rPr>
        <w:lastRenderedPageBreak/>
        <w:t>IDENTIFIKAČNÍ KÓD PROGRAMU</w:t>
      </w:r>
    </w:p>
    <w:p w:rsidR="009C04DF" w:rsidRDefault="00C81E56">
      <w:pPr>
        <w:spacing w:before="120" w:after="120"/>
        <w:jc w:val="both"/>
        <w:rPr>
          <w:rFonts w:ascii="Arial" w:eastAsia="Arial" w:hAnsi="Arial" w:cs="Arial"/>
          <w:sz w:val="22"/>
          <w:szCs w:val="22"/>
          <w:highlight w:val="yellow"/>
        </w:rPr>
      </w:pPr>
      <w:r>
        <w:rPr>
          <w:rFonts w:ascii="Arial" w:eastAsia="Arial" w:hAnsi="Arial" w:cs="Arial"/>
          <w:sz w:val="22"/>
          <w:szCs w:val="22"/>
        </w:rPr>
        <w:t xml:space="preserve">Pro účely evidence v informačním systému výzkumu, experimentálního vývoje a inovací byl programu přidělen kód </w:t>
      </w:r>
      <w:r>
        <w:rPr>
          <w:rFonts w:ascii="Arial" w:eastAsia="Arial" w:hAnsi="Arial" w:cs="Arial"/>
          <w:sz w:val="22"/>
          <w:szCs w:val="22"/>
          <w:highlight w:val="yellow"/>
        </w:rPr>
        <w:t>„...“</w:t>
      </w:r>
      <w:r>
        <w:rPr>
          <w:rFonts w:ascii="Arial" w:eastAsia="Arial" w:hAnsi="Arial" w:cs="Arial"/>
          <w:sz w:val="22"/>
          <w:szCs w:val="22"/>
        </w:rPr>
        <w:t>.</w:t>
      </w:r>
    </w:p>
    <w:p w:rsidR="009C04DF" w:rsidRDefault="00C81E56">
      <w:pPr>
        <w:pStyle w:val="Nadpis1"/>
        <w:numPr>
          <w:ilvl w:val="0"/>
          <w:numId w:val="2"/>
        </w:numPr>
        <w:ind w:hanging="432"/>
        <w:rPr>
          <w:rFonts w:ascii="Arial" w:eastAsia="Arial" w:hAnsi="Arial" w:cs="Arial"/>
        </w:rPr>
      </w:pPr>
      <w:r>
        <w:rPr>
          <w:rFonts w:ascii="Arial" w:eastAsia="Arial" w:hAnsi="Arial" w:cs="Arial"/>
        </w:rPr>
        <w:t>DOBA TRVÁNÍ A TERMÍNY VYHLÁŠENÍ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Doba trvání programu se předpokládá v letech 2018 až 20</w:t>
      </w:r>
      <w:r w:rsidR="003D376D">
        <w:rPr>
          <w:rFonts w:ascii="Arial" w:eastAsia="Arial" w:hAnsi="Arial" w:cs="Arial"/>
          <w:sz w:val="22"/>
          <w:szCs w:val="22"/>
        </w:rPr>
        <w:t>22</w:t>
      </w:r>
      <w:r>
        <w:rPr>
          <w:rFonts w:ascii="Arial" w:eastAsia="Arial" w:hAnsi="Arial" w:cs="Arial"/>
          <w:sz w:val="22"/>
          <w:szCs w:val="22"/>
        </w:rPr>
        <w:t xml:space="preserve">, tj. </w:t>
      </w:r>
      <w:r w:rsidR="003D376D">
        <w:rPr>
          <w:rFonts w:ascii="Arial" w:eastAsia="Arial" w:hAnsi="Arial" w:cs="Arial"/>
          <w:sz w:val="22"/>
          <w:szCs w:val="22"/>
        </w:rPr>
        <w:t>5</w:t>
      </w:r>
      <w:r>
        <w:rPr>
          <w:rFonts w:ascii="Arial" w:eastAsia="Arial" w:hAnsi="Arial" w:cs="Arial"/>
          <w:sz w:val="22"/>
          <w:szCs w:val="22"/>
        </w:rPr>
        <w:t xml:space="preserve"> let. </w:t>
      </w:r>
    </w:p>
    <w:p w:rsidR="003D376D" w:rsidRDefault="00C81E56" w:rsidP="003D376D">
      <w:pPr>
        <w:spacing w:before="120" w:after="120"/>
        <w:jc w:val="both"/>
        <w:rPr>
          <w:rFonts w:ascii="Arial" w:eastAsia="Arial" w:hAnsi="Arial" w:cs="Arial"/>
          <w:sz w:val="22"/>
          <w:szCs w:val="22"/>
        </w:rPr>
      </w:pPr>
      <w:r>
        <w:rPr>
          <w:rFonts w:ascii="Arial" w:eastAsia="Arial" w:hAnsi="Arial" w:cs="Arial"/>
          <w:sz w:val="22"/>
          <w:szCs w:val="22"/>
        </w:rPr>
        <w:t>Veřejná soutěž v aplikovaném výzkumu a experimentálním vývoji a inovacích (dále jen „veřejná soutěž“) na výběr projektů do programu bude vyhlášena poprvé v roce 2018 se zahájením poskytování podpory v roce 2018. Na základě vyhodnocení průběhu a výsledků první veřejné soutěže mohou být následně vyhlášeny další veřejné soutěže.</w:t>
      </w:r>
      <w:r w:rsidR="00914538">
        <w:rPr>
          <w:rFonts w:ascii="Arial" w:eastAsia="Arial" w:hAnsi="Arial" w:cs="Arial"/>
          <w:sz w:val="22"/>
          <w:szCs w:val="22"/>
        </w:rPr>
        <w:t xml:space="preserve"> V první veřejné soutěži budou podpořeny projekty s trváním do roku 2020, s možností prodloužení o dva roky, tedy do roku 2022.</w:t>
      </w:r>
      <w:r w:rsidR="003D376D" w:rsidRPr="003D376D">
        <w:rPr>
          <w:rFonts w:ascii="Arial" w:eastAsia="Arial" w:hAnsi="Arial" w:cs="Arial"/>
          <w:sz w:val="22"/>
          <w:szCs w:val="22"/>
        </w:rPr>
        <w:t xml:space="preserve"> </w:t>
      </w:r>
      <w:r w:rsidR="003D376D">
        <w:rPr>
          <w:rFonts w:ascii="Arial" w:eastAsia="Arial" w:hAnsi="Arial" w:cs="Arial"/>
          <w:sz w:val="22"/>
          <w:szCs w:val="22"/>
        </w:rPr>
        <w:t xml:space="preserve">Doba trvání projektů nesmí přesáhnout dobu trvání programu. </w:t>
      </w:r>
    </w:p>
    <w:p w:rsidR="003D376D" w:rsidRDefault="003D376D">
      <w:pPr>
        <w:spacing w:before="120" w:after="120"/>
        <w:jc w:val="both"/>
        <w:rPr>
          <w:rFonts w:ascii="Arial" w:eastAsia="Arial" w:hAnsi="Arial" w:cs="Arial"/>
          <w:sz w:val="22"/>
          <w:szCs w:val="22"/>
        </w:rPr>
      </w:pPr>
      <w:r>
        <w:rPr>
          <w:rFonts w:ascii="Arial" w:eastAsia="Arial" w:hAnsi="Arial" w:cs="Arial"/>
          <w:sz w:val="22"/>
          <w:szCs w:val="22"/>
        </w:rPr>
        <w:t>Na program Národní centra kompetence 1 bude přímo navazovat program Národní centra kompetence 2 pro období 202</w:t>
      </w:r>
      <w:r w:rsidR="00BA709E">
        <w:rPr>
          <w:rFonts w:ascii="Arial" w:eastAsia="Arial" w:hAnsi="Arial" w:cs="Arial"/>
          <w:sz w:val="22"/>
          <w:szCs w:val="22"/>
        </w:rPr>
        <w:t>0</w:t>
      </w:r>
      <w:r>
        <w:rPr>
          <w:rFonts w:ascii="Arial" w:eastAsia="Arial" w:hAnsi="Arial" w:cs="Arial"/>
          <w:sz w:val="22"/>
          <w:szCs w:val="22"/>
        </w:rPr>
        <w:t>-202</w:t>
      </w:r>
      <w:r w:rsidR="00914538">
        <w:rPr>
          <w:rFonts w:ascii="Arial" w:eastAsia="Arial" w:hAnsi="Arial" w:cs="Arial"/>
          <w:sz w:val="22"/>
          <w:szCs w:val="22"/>
        </w:rPr>
        <w:t>6</w:t>
      </w:r>
      <w:r>
        <w:rPr>
          <w:rFonts w:ascii="Arial" w:eastAsia="Arial" w:hAnsi="Arial" w:cs="Arial"/>
          <w:sz w:val="22"/>
          <w:szCs w:val="22"/>
        </w:rPr>
        <w:t>. Program Národní centra kompetence 2 bude připravován v roce 2018 tak</w:t>
      </w:r>
      <w:r w:rsidR="00177924">
        <w:rPr>
          <w:rFonts w:ascii="Arial" w:eastAsia="Arial" w:hAnsi="Arial" w:cs="Arial"/>
          <w:sz w:val="22"/>
          <w:szCs w:val="22"/>
        </w:rPr>
        <w:t>,</w:t>
      </w:r>
      <w:r w:rsidR="00177924" w:rsidRPr="00177924">
        <w:t xml:space="preserve"> </w:t>
      </w:r>
      <w:r w:rsidR="00177924" w:rsidRPr="00177924">
        <w:rPr>
          <w:rFonts w:ascii="Arial" w:eastAsia="Arial" w:hAnsi="Arial" w:cs="Arial"/>
          <w:sz w:val="22"/>
          <w:szCs w:val="22"/>
        </w:rPr>
        <w:t>aby mohl být schválen v souladu s harmonogramem přípravy rozpočtu na rok 2020.</w:t>
      </w:r>
      <w:r w:rsidR="00BA709E">
        <w:rPr>
          <w:rFonts w:ascii="Arial" w:eastAsia="Arial" w:hAnsi="Arial" w:cs="Arial"/>
          <w:sz w:val="22"/>
          <w:szCs w:val="22"/>
        </w:rPr>
        <w:t xml:space="preserve"> Návazný program Národní centra kompetence 2 bude reflektovat </w:t>
      </w:r>
      <w:r w:rsidRPr="003D376D">
        <w:rPr>
          <w:rFonts w:ascii="Arial" w:eastAsia="Arial" w:hAnsi="Arial" w:cs="Arial"/>
          <w:sz w:val="22"/>
          <w:szCs w:val="22"/>
        </w:rPr>
        <w:t>zkušenosti z</w:t>
      </w:r>
      <w:r w:rsidR="00BA709E">
        <w:rPr>
          <w:rFonts w:ascii="Arial" w:eastAsia="Arial" w:hAnsi="Arial" w:cs="Arial"/>
          <w:sz w:val="22"/>
          <w:szCs w:val="22"/>
        </w:rPr>
        <w:t> </w:t>
      </w:r>
      <w:r w:rsidRPr="003D376D">
        <w:rPr>
          <w:rFonts w:ascii="Arial" w:eastAsia="Arial" w:hAnsi="Arial" w:cs="Arial"/>
          <w:sz w:val="22"/>
          <w:szCs w:val="22"/>
        </w:rPr>
        <w:t>programu</w:t>
      </w:r>
      <w:r w:rsidR="00BA709E">
        <w:rPr>
          <w:rFonts w:ascii="Arial" w:eastAsia="Arial" w:hAnsi="Arial" w:cs="Arial"/>
          <w:sz w:val="22"/>
          <w:szCs w:val="22"/>
        </w:rPr>
        <w:t xml:space="preserve"> Národní centra kompetence 1</w:t>
      </w:r>
      <w:r w:rsidR="00177924" w:rsidRPr="00177924">
        <w:rPr>
          <w:rFonts w:ascii="Arial" w:eastAsia="Arial" w:hAnsi="Arial" w:cs="Arial"/>
          <w:sz w:val="22"/>
          <w:szCs w:val="22"/>
        </w:rPr>
        <w:t>, nastavení financování z fondů ESIF po roce 2020, nové nastavení rámcového programu EU pro podporu výzkumu navazujícího na program Horizont 2020, ověření hodnocení dle Metodiky hodnocení výsledků výzkumných organizací a hodnocení výsledků ukončených programů schválené usnesením vlády ze dne 8. února 2017 č. 107 (dále jen „Metodika 2017+“), ukončení Národních programů udržitelnosti a dopad ukončení financování do státního rozpočtu na oblast výzkumu a vývoje a upřesnění mechanismů řízení národních center komp</w:t>
      </w:r>
      <w:r w:rsidR="00177924">
        <w:rPr>
          <w:rFonts w:ascii="Arial" w:eastAsia="Arial" w:hAnsi="Arial" w:cs="Arial"/>
          <w:sz w:val="22"/>
          <w:szCs w:val="22"/>
        </w:rPr>
        <w:t>etence v dlouhodobém horizontu.</w:t>
      </w:r>
    </w:p>
    <w:p w:rsidR="00177924" w:rsidRDefault="00177924">
      <w:pPr>
        <w:spacing w:before="120" w:after="120"/>
        <w:jc w:val="both"/>
        <w:rPr>
          <w:rFonts w:ascii="Arial" w:eastAsia="Arial" w:hAnsi="Arial" w:cs="Arial"/>
          <w:sz w:val="22"/>
          <w:szCs w:val="22"/>
        </w:rPr>
      </w:pPr>
      <w:r>
        <w:rPr>
          <w:rFonts w:ascii="Arial" w:eastAsia="Arial" w:hAnsi="Arial" w:cs="Arial"/>
          <w:sz w:val="22"/>
          <w:szCs w:val="22"/>
        </w:rPr>
        <w:t>Program Národní</w:t>
      </w:r>
      <w:r w:rsidRPr="00177924">
        <w:rPr>
          <w:rFonts w:ascii="Arial" w:eastAsia="Arial" w:hAnsi="Arial" w:cs="Arial"/>
          <w:sz w:val="22"/>
          <w:szCs w:val="22"/>
        </w:rPr>
        <w:t xml:space="preserve"> </w:t>
      </w:r>
      <w:r>
        <w:rPr>
          <w:rFonts w:ascii="Arial" w:eastAsia="Arial" w:hAnsi="Arial" w:cs="Arial"/>
          <w:sz w:val="22"/>
          <w:szCs w:val="22"/>
        </w:rPr>
        <w:t>c</w:t>
      </w:r>
      <w:r w:rsidRPr="00177924">
        <w:rPr>
          <w:rFonts w:ascii="Arial" w:eastAsia="Arial" w:hAnsi="Arial" w:cs="Arial"/>
          <w:sz w:val="22"/>
          <w:szCs w:val="22"/>
        </w:rPr>
        <w:t xml:space="preserve">entra kompetence 2 bude zohledňovat zejména následující parametry: Délka programu bude maximálně 7 let, tj. bude pokrývat období 2020–2026. První veřejná soutěž v programu bude vyhlášena </w:t>
      </w:r>
      <w:r>
        <w:rPr>
          <w:rFonts w:ascii="Arial" w:eastAsia="Arial" w:hAnsi="Arial" w:cs="Arial"/>
          <w:sz w:val="22"/>
          <w:szCs w:val="22"/>
        </w:rPr>
        <w:t xml:space="preserve">v roce 2020 </w:t>
      </w:r>
      <w:r w:rsidRPr="00177924">
        <w:rPr>
          <w:rFonts w:ascii="Arial" w:eastAsia="Arial" w:hAnsi="Arial" w:cs="Arial"/>
          <w:sz w:val="22"/>
          <w:szCs w:val="22"/>
        </w:rPr>
        <w:t xml:space="preserve">se zahájením </w:t>
      </w:r>
      <w:r>
        <w:rPr>
          <w:rFonts w:ascii="Arial" w:eastAsia="Arial" w:hAnsi="Arial" w:cs="Arial"/>
          <w:sz w:val="22"/>
          <w:szCs w:val="22"/>
        </w:rPr>
        <w:t>financování projektů v roce 2021</w:t>
      </w:r>
      <w:r w:rsidRPr="00177924">
        <w:rPr>
          <w:rFonts w:ascii="Arial" w:eastAsia="Arial" w:hAnsi="Arial" w:cs="Arial"/>
          <w:sz w:val="22"/>
          <w:szCs w:val="22"/>
        </w:rPr>
        <w:t>. Řešitelé projektů v rámci programu Národní centra kompetence 1 budou mít možnost se zúčastnit veřejných soutěží i v rámci návazného programu Národní centra kompetence 2. Pro tento návazný program bude rovněž klíčové vázání části podpory rozvoje výzkumných organizací (RVO) na aplikovaný výzkum ve vazbě na Metodiku 2017+ a její moduly 3, 4 a 5.</w:t>
      </w:r>
    </w:p>
    <w:p w:rsidR="009C04DF" w:rsidRDefault="00C81E56">
      <w:pPr>
        <w:pStyle w:val="Nadpis1"/>
        <w:numPr>
          <w:ilvl w:val="0"/>
          <w:numId w:val="2"/>
        </w:numPr>
        <w:ind w:hanging="432"/>
        <w:rPr>
          <w:rFonts w:ascii="Arial" w:eastAsia="Arial" w:hAnsi="Arial" w:cs="Arial"/>
        </w:rPr>
      </w:pPr>
      <w:r>
        <w:rPr>
          <w:rFonts w:ascii="Arial" w:eastAsia="Arial" w:hAnsi="Arial" w:cs="Arial"/>
        </w:rPr>
        <w:t>ZAMĚŘENÍ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je zaměřen na podporu dlouhodobé spolupráce mezi výzkumnou a aplikační sférou a posílení institucionální základny aplikovaného výzkumu.</w:t>
      </w:r>
      <w:r w:rsidR="00BA709E">
        <w:rPr>
          <w:rFonts w:ascii="Arial" w:eastAsia="Arial" w:hAnsi="Arial" w:cs="Arial"/>
          <w:sz w:val="22"/>
          <w:szCs w:val="22"/>
        </w:rPr>
        <w:t xml:space="preserve"> S ohledem </w:t>
      </w:r>
      <w:r w:rsidR="00723790">
        <w:rPr>
          <w:rFonts w:ascii="Arial" w:eastAsia="Arial" w:hAnsi="Arial" w:cs="Arial"/>
          <w:sz w:val="22"/>
          <w:szCs w:val="22"/>
        </w:rPr>
        <w:t>na zajištění dlouhodobé stability systému</w:t>
      </w:r>
      <w:r w:rsidR="00BA709E">
        <w:rPr>
          <w:rFonts w:ascii="Arial" w:eastAsia="Arial" w:hAnsi="Arial" w:cs="Arial"/>
          <w:sz w:val="22"/>
          <w:szCs w:val="22"/>
        </w:rPr>
        <w:t xml:space="preserve"> bude na program Národní centra kompetence 1 navazovat program Národní centra kompetence 2 pro obd</w:t>
      </w:r>
      <w:r w:rsidR="00047511">
        <w:rPr>
          <w:rFonts w:ascii="Arial" w:eastAsia="Arial" w:hAnsi="Arial" w:cs="Arial"/>
          <w:sz w:val="22"/>
          <w:szCs w:val="22"/>
        </w:rPr>
        <w:t>o</w:t>
      </w:r>
      <w:r w:rsidR="00BA709E">
        <w:rPr>
          <w:rFonts w:ascii="Arial" w:eastAsia="Arial" w:hAnsi="Arial" w:cs="Arial"/>
          <w:sz w:val="22"/>
          <w:szCs w:val="22"/>
        </w:rPr>
        <w:t xml:space="preserve">bí </w:t>
      </w:r>
      <w:r w:rsidR="00914538">
        <w:rPr>
          <w:rFonts w:ascii="Arial" w:eastAsia="Arial" w:hAnsi="Arial" w:cs="Arial"/>
          <w:sz w:val="22"/>
          <w:szCs w:val="22"/>
        </w:rPr>
        <w:t>2020-2026</w:t>
      </w:r>
      <w:r w:rsidR="00BA709E">
        <w:rPr>
          <w:rFonts w:ascii="Arial" w:eastAsia="Arial" w:hAnsi="Arial" w:cs="Arial"/>
          <w:sz w:val="22"/>
          <w:szCs w:val="22"/>
        </w:rPr>
        <w: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souladu s Národní politikou výzkumu, vývoje a inovací České republiky na léta 2016 – 2020 je záměrem výrazně posílit segment výzkumných organizací zaměřených na aplikovaný výzkum a motivovat relevantní stávající výzkumná pracoviště, aby se transformovala na výzkumně a technologicky zaměřená centra, kde bude realizován kvalitní aplikovaný výzkum podle potřeb aplikační sféry. Záměrem je synergicky provázat již existující úspěšná centra, která vznikla za podpory TA ČR (Centra kompetence), GA ČR (Centra excelence) a operačních programů (zejména tzv. VaVpI Centra) s dalšími výzkumnými centry a jednotkami do jednoho integrovaného systému.</w:t>
      </w:r>
      <w:r w:rsidR="00363D10">
        <w:rPr>
          <w:rFonts w:ascii="Arial" w:eastAsia="Arial" w:hAnsi="Arial" w:cs="Arial"/>
          <w:sz w:val="22"/>
          <w:szCs w:val="22"/>
        </w:rPr>
        <w:t xml:space="preserve"> Program</w:t>
      </w:r>
      <w:r w:rsidR="00900813">
        <w:rPr>
          <w:rFonts w:ascii="Arial" w:eastAsia="Arial" w:hAnsi="Arial" w:cs="Arial"/>
          <w:sz w:val="22"/>
          <w:szCs w:val="22"/>
        </w:rPr>
        <w:t xml:space="preserve"> a návazný program Národní centra komp</w:t>
      </w:r>
      <w:r w:rsidR="00D36AE4">
        <w:rPr>
          <w:rFonts w:ascii="Arial" w:eastAsia="Arial" w:hAnsi="Arial" w:cs="Arial"/>
          <w:sz w:val="22"/>
          <w:szCs w:val="22"/>
        </w:rPr>
        <w:t>e</w:t>
      </w:r>
      <w:r w:rsidR="00900813">
        <w:rPr>
          <w:rFonts w:ascii="Arial" w:eastAsia="Arial" w:hAnsi="Arial" w:cs="Arial"/>
          <w:sz w:val="22"/>
          <w:szCs w:val="22"/>
        </w:rPr>
        <w:t>tence 2</w:t>
      </w:r>
      <w:r w:rsidR="00363D10">
        <w:rPr>
          <w:rFonts w:ascii="Arial" w:eastAsia="Arial" w:hAnsi="Arial" w:cs="Arial"/>
          <w:sz w:val="22"/>
          <w:szCs w:val="22"/>
        </w:rPr>
        <w:t xml:space="preserve"> by zároveň měl</w:t>
      </w:r>
      <w:r w:rsidR="00900813">
        <w:rPr>
          <w:rFonts w:ascii="Arial" w:eastAsia="Arial" w:hAnsi="Arial" w:cs="Arial"/>
          <w:sz w:val="22"/>
          <w:szCs w:val="22"/>
        </w:rPr>
        <w:t>y</w:t>
      </w:r>
      <w:r w:rsidR="00363D10">
        <w:rPr>
          <w:rFonts w:ascii="Arial" w:eastAsia="Arial" w:hAnsi="Arial" w:cs="Arial"/>
          <w:sz w:val="22"/>
          <w:szCs w:val="22"/>
        </w:rPr>
        <w:t xml:space="preserve"> být součástí řešení financování aplikovaného výzkumu po roce 2020 po konci současného programového období Evropských strukturálních a investičních fondů a součástí budoucího financování výzkumných infrastruktur.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lastRenderedPageBreak/>
        <w:t>Tato pracoviště by měla intenzivně spolupracovat s aplikačním sektorem a měla by vytvářet poznatky s vysokým potenciálem pro přímé uplatnění v praxi, dále by měla získávat významnou část svých příjmů ze smluvního výzkumu</w:t>
      </w:r>
      <w:r w:rsidR="0095286C">
        <w:rPr>
          <w:rFonts w:ascii="Arial" w:eastAsia="Arial" w:hAnsi="Arial" w:cs="Arial"/>
          <w:sz w:val="22"/>
          <w:szCs w:val="22"/>
        </w:rPr>
        <w:t>,</w:t>
      </w:r>
      <w:r w:rsidR="001865EB">
        <w:rPr>
          <w:rFonts w:ascii="Arial" w:eastAsia="Arial" w:hAnsi="Arial" w:cs="Arial"/>
          <w:sz w:val="22"/>
          <w:szCs w:val="22"/>
        </w:rPr>
        <w:t xml:space="preserve"> ale i z dalších zdrojů.</w:t>
      </w:r>
      <w:r w:rsidR="0095286C">
        <w:rPr>
          <w:rFonts w:ascii="Arial" w:eastAsia="Arial" w:hAnsi="Arial" w:cs="Arial"/>
          <w:sz w:val="22"/>
          <w:szCs w:val="22"/>
        </w:rPr>
        <w:t xml:space="preserve"> </w:t>
      </w:r>
      <w:r>
        <w:rPr>
          <w:rFonts w:ascii="Arial" w:eastAsia="Arial" w:hAnsi="Arial" w:cs="Arial"/>
          <w:sz w:val="22"/>
          <w:szCs w:val="22"/>
        </w:rPr>
        <w:t xml:space="preserve">Záměrem je také posílit výzkumné a inovační aktivity podniků, respektive stimulovat rozvoj aktivit výzkumu a vývoje a zvýšení schopnosti podniků absorbovat výsledky výzkumu realizovaného ve výzkumných organizacích. Dále se předpokládá, že program </w:t>
      </w:r>
      <w:r w:rsidR="00900813">
        <w:rPr>
          <w:rFonts w:ascii="Arial" w:eastAsia="Arial" w:hAnsi="Arial" w:cs="Arial"/>
          <w:sz w:val="22"/>
          <w:szCs w:val="22"/>
        </w:rPr>
        <w:t>a návazný program Národní centra komp</w:t>
      </w:r>
      <w:r w:rsidR="00D36AE4">
        <w:rPr>
          <w:rFonts w:ascii="Arial" w:eastAsia="Arial" w:hAnsi="Arial" w:cs="Arial"/>
          <w:sz w:val="22"/>
          <w:szCs w:val="22"/>
        </w:rPr>
        <w:t>e</w:t>
      </w:r>
      <w:r w:rsidR="00900813">
        <w:rPr>
          <w:rFonts w:ascii="Arial" w:eastAsia="Arial" w:hAnsi="Arial" w:cs="Arial"/>
          <w:sz w:val="22"/>
          <w:szCs w:val="22"/>
        </w:rPr>
        <w:t xml:space="preserve">tence 2 </w:t>
      </w:r>
      <w:r>
        <w:rPr>
          <w:rFonts w:ascii="Arial" w:eastAsia="Arial" w:hAnsi="Arial" w:cs="Arial"/>
          <w:sz w:val="22"/>
          <w:szCs w:val="22"/>
        </w:rPr>
        <w:t>přispěj</w:t>
      </w:r>
      <w:r w:rsidR="00900813">
        <w:rPr>
          <w:rFonts w:ascii="Arial" w:eastAsia="Arial" w:hAnsi="Arial" w:cs="Arial"/>
          <w:sz w:val="22"/>
          <w:szCs w:val="22"/>
        </w:rPr>
        <w:t>í</w:t>
      </w:r>
      <w:r>
        <w:rPr>
          <w:rFonts w:ascii="Arial" w:eastAsia="Arial" w:hAnsi="Arial" w:cs="Arial"/>
          <w:sz w:val="22"/>
          <w:szCs w:val="22"/>
        </w:rPr>
        <w:t xml:space="preserve"> nejen k lepší spolupráci a propojenosti výzkumné a aplikační sféry, ale i k lepší spolupráci v rámci výzkumné sféry i v rámci aplikační sféry.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Předpokládá se mimo jiné vznik velkých komplexních </w:t>
      </w:r>
      <w:r w:rsidR="00D36AE4">
        <w:rPr>
          <w:rFonts w:ascii="Arial" w:eastAsia="Arial" w:hAnsi="Arial" w:cs="Arial"/>
          <w:sz w:val="22"/>
          <w:szCs w:val="22"/>
        </w:rPr>
        <w:t xml:space="preserve">aplikačně </w:t>
      </w:r>
      <w:r>
        <w:rPr>
          <w:rFonts w:ascii="Arial" w:eastAsia="Arial" w:hAnsi="Arial" w:cs="Arial"/>
          <w:sz w:val="22"/>
          <w:szCs w:val="22"/>
        </w:rPr>
        <w:t>orientovaných center s mezinárodním přesahem, potenciálem přelomových inovací a postavených na excelentních týmech. Tato centra by měla překračovat kritickou velikost pro participaci v rozsáhlejších projektech s dlouhodobým financováním. Záměrem je také propojit dosud málo nebo vůbec nekomunikující odvětví. Dále by centra měla zásadním způsobem zvýšit efektivitu výzkumu zvýšením interdisciplinarity, včetně zapojení společenskovědního výzkumu</w:t>
      </w:r>
      <w:r w:rsidR="00FF57F7">
        <w:rPr>
          <w:rFonts w:ascii="Arial" w:eastAsia="Arial" w:hAnsi="Arial" w:cs="Arial"/>
          <w:sz w:val="22"/>
          <w:szCs w:val="22"/>
        </w:rPr>
        <w:t>,</w:t>
      </w:r>
      <w:r w:rsidR="00FF57F7" w:rsidRPr="00FF57F7">
        <w:rPr>
          <w:rFonts w:ascii="Arial" w:eastAsia="Arial" w:hAnsi="Arial" w:cs="Arial"/>
          <w:sz w:val="22"/>
          <w:szCs w:val="22"/>
        </w:rPr>
        <w:t xml:space="preserve"> zaměřením na nosné perspektivní sektory české ekonomiky s nadprůměrným růstovým potenciálem, které reflektují ekonomickou specializaci ČR a v nichž lze výsledky </w:t>
      </w:r>
      <w:r w:rsidR="00FF57F7">
        <w:rPr>
          <w:rFonts w:ascii="Arial" w:eastAsia="Arial" w:hAnsi="Arial" w:cs="Arial"/>
          <w:sz w:val="22"/>
          <w:szCs w:val="22"/>
        </w:rPr>
        <w:t>výzkumu a vývoje</w:t>
      </w:r>
      <w:r w:rsidR="00FF57F7" w:rsidRPr="00FF57F7">
        <w:rPr>
          <w:rFonts w:ascii="Arial" w:eastAsia="Arial" w:hAnsi="Arial" w:cs="Arial"/>
          <w:sz w:val="22"/>
          <w:szCs w:val="22"/>
        </w:rPr>
        <w:t xml:space="preserve"> dále rozvíjet a využívat.</w:t>
      </w:r>
    </w:p>
    <w:p w:rsidR="00FF57F7" w:rsidRDefault="00FF57F7">
      <w:pPr>
        <w:spacing w:before="120" w:after="120"/>
        <w:jc w:val="both"/>
        <w:rPr>
          <w:rFonts w:ascii="Arial" w:eastAsia="Arial" w:hAnsi="Arial" w:cs="Arial"/>
          <w:sz w:val="22"/>
          <w:szCs w:val="22"/>
          <w:highlight w:val="yellow"/>
        </w:rPr>
      </w:pPr>
      <w:r w:rsidRPr="00FF57F7">
        <w:rPr>
          <w:rFonts w:ascii="Arial" w:eastAsia="Arial" w:hAnsi="Arial" w:cs="Arial"/>
          <w:sz w:val="22"/>
          <w:szCs w:val="22"/>
        </w:rPr>
        <w:t xml:space="preserve">Tematické zaměření projektů bude určeno kombinací přístupu top-down a bottom-up. Ve vyhlášení veřejné soutěže ve výzkumu, vývoji a inovacích budou určena témata/aplikační odvětví, v nichž je možné předkládat projekty. Tato témata/aplikační odvětví budou v souladu s </w:t>
      </w:r>
      <w:r>
        <w:rPr>
          <w:rFonts w:ascii="Arial" w:eastAsia="Arial" w:hAnsi="Arial" w:cs="Arial"/>
          <w:sz w:val="22"/>
          <w:szCs w:val="22"/>
        </w:rPr>
        <w:t xml:space="preserve">Národní politikou výzkumu, vývoje a inovací České republiky na léta 2016 až 2020 </w:t>
      </w:r>
      <w:r w:rsidRPr="00FF57F7">
        <w:rPr>
          <w:rFonts w:ascii="Arial" w:eastAsia="Arial" w:hAnsi="Arial" w:cs="Arial"/>
          <w:sz w:val="22"/>
          <w:szCs w:val="22"/>
        </w:rPr>
        <w:t xml:space="preserve">vycházet z Národní RIS3 strategie a budou zvolena </w:t>
      </w:r>
      <w:r w:rsidR="002357E3">
        <w:rPr>
          <w:rFonts w:ascii="Arial" w:eastAsia="Arial" w:hAnsi="Arial" w:cs="Arial"/>
          <w:sz w:val="22"/>
          <w:szCs w:val="22"/>
        </w:rPr>
        <w:t>s využitím výsledků</w:t>
      </w:r>
      <w:r w:rsidRPr="00FF57F7">
        <w:rPr>
          <w:rFonts w:ascii="Arial" w:eastAsia="Arial" w:hAnsi="Arial" w:cs="Arial"/>
          <w:sz w:val="22"/>
          <w:szCs w:val="22"/>
        </w:rPr>
        <w:t xml:space="preserve"> diskuz</w:t>
      </w:r>
      <w:r w:rsidR="002357E3">
        <w:rPr>
          <w:rFonts w:ascii="Arial" w:eastAsia="Arial" w:hAnsi="Arial" w:cs="Arial"/>
          <w:sz w:val="22"/>
          <w:szCs w:val="22"/>
        </w:rPr>
        <w:t>e</w:t>
      </w:r>
      <w:r w:rsidRPr="00FF57F7">
        <w:rPr>
          <w:rFonts w:ascii="Arial" w:eastAsia="Arial" w:hAnsi="Arial" w:cs="Arial"/>
          <w:sz w:val="22"/>
          <w:szCs w:val="22"/>
        </w:rPr>
        <w:t xml:space="preserve"> v Národních inovačních platformách</w:t>
      </w:r>
      <w:r>
        <w:rPr>
          <w:rFonts w:ascii="Arial" w:eastAsia="Arial" w:hAnsi="Arial" w:cs="Arial"/>
          <w:sz w:val="22"/>
          <w:szCs w:val="22"/>
        </w:rPr>
        <w: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Program je zaměřen na podporu projektů, které spadají dle čl. 25 odst. 2 písm. b) a c) Nařízení a čl. 1.3. písm. e) Rámce do kategorie aplikovaného výzkumu (zahrnuje průmyslový výzkum, experimentální vývoj nebo jejich kombinaci), jejichž výsledky mají vysoký potenciál pro uplatnění v řadě oblastí celospolečenského života obyvatel České republiky. </w:t>
      </w:r>
    </w:p>
    <w:p w:rsidR="00177924" w:rsidRPr="00177924" w:rsidRDefault="00177924" w:rsidP="00177924">
      <w:pPr>
        <w:spacing w:before="120" w:after="120"/>
        <w:jc w:val="both"/>
        <w:rPr>
          <w:rFonts w:ascii="Arial" w:eastAsia="Arial" w:hAnsi="Arial" w:cs="Arial"/>
          <w:sz w:val="22"/>
          <w:szCs w:val="22"/>
        </w:rPr>
      </w:pPr>
      <w:r w:rsidRPr="00177924">
        <w:rPr>
          <w:rFonts w:ascii="Arial" w:eastAsia="Arial" w:hAnsi="Arial" w:cs="Arial"/>
          <w:sz w:val="22"/>
          <w:szCs w:val="22"/>
        </w:rPr>
        <w:t xml:space="preserve">Program přímo naplňuje NP VaVaI, </w:t>
      </w:r>
      <w:r>
        <w:rPr>
          <w:rFonts w:ascii="Arial" w:eastAsia="Arial" w:hAnsi="Arial" w:cs="Arial"/>
          <w:sz w:val="22"/>
          <w:szCs w:val="22"/>
        </w:rPr>
        <w:t>zejména</w:t>
      </w:r>
      <w:r w:rsidRPr="00177924">
        <w:rPr>
          <w:rFonts w:ascii="Arial" w:eastAsia="Arial" w:hAnsi="Arial" w:cs="Arial"/>
          <w:sz w:val="22"/>
          <w:szCs w:val="22"/>
        </w:rPr>
        <w:t xml:space="preserve"> cíl 3.1 Posílit institucionální základnu aplikovaného výzkumu, opatření 16 Vytvořit podmínky pro vznik center aplikovaného výzkumu.</w:t>
      </w:r>
    </w:p>
    <w:p w:rsidR="00177924" w:rsidRDefault="00177924" w:rsidP="00177924">
      <w:pPr>
        <w:spacing w:before="120" w:after="120"/>
        <w:jc w:val="both"/>
        <w:rPr>
          <w:rFonts w:ascii="Arial" w:eastAsia="Arial" w:hAnsi="Arial" w:cs="Arial"/>
          <w:sz w:val="22"/>
          <w:szCs w:val="22"/>
        </w:rPr>
      </w:pPr>
      <w:r w:rsidRPr="00177924">
        <w:rPr>
          <w:rFonts w:ascii="Arial" w:eastAsia="Arial" w:hAnsi="Arial" w:cs="Arial"/>
          <w:sz w:val="22"/>
          <w:szCs w:val="22"/>
        </w:rPr>
        <w:t>Program zároveň naplňuje Národní RIS3 strategii, konkrétně Strategický cíl C.1 Zvýšit relevanci výzkumu (oba specifické cíle), B.1 Zlepšit kvalitu a problémovou orientaci výzkumu ve znalostních doménách relevantních pro inteligentní specializaci (zejm. specifický cíl B.1.1) a částečně i F.2 Podpořit a lépe využít spolupráci místních aktérů při řešení potřeb v oblasti zaměstnanosti, ekonomického rozvoje a sociální inkluze v krajích ČR.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přispěje k tomu, aby veřejné prostředky investované do aplikovaného výzkumu přinášely ekonomický či jiný společenský přínos z jejich realizace. Získané poznatky přispějí k definování faktorů a procesů, které určují a ovlivňují fungování a rozvoj české společnosti, v kontextu probíhající evropské integrace a světové globalizace. Při realizaci tento program předpokládá především uplatnění projektů zaměřených na průmyslový výzkum (zahrnující ovšem také nezbytné činnosti orientovaného základního výzkumu) a také podporu projektů s převahou experimentálního vývoje.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Předpokládá se, přinejmenším v úvodní fázi fungování center, vznik „virtuálních“ center</w:t>
      </w:r>
      <w:r w:rsidR="00352C86">
        <w:rPr>
          <w:rFonts w:ascii="Arial" w:eastAsia="Arial" w:hAnsi="Arial" w:cs="Arial"/>
          <w:sz w:val="22"/>
          <w:szCs w:val="22"/>
        </w:rPr>
        <w:t xml:space="preserve"> (</w:t>
      </w:r>
      <w:r w:rsidR="00352C86">
        <w:rPr>
          <w:rFonts w:ascii="Arial" w:hAnsi="Arial" w:cs="Arial"/>
          <w:sz w:val="22"/>
          <w:szCs w:val="22"/>
        </w:rPr>
        <w:t>jako finančně nezávislých</w:t>
      </w:r>
      <w:r w:rsidR="000E0EF3">
        <w:rPr>
          <w:rFonts w:ascii="Arial" w:hAnsi="Arial" w:cs="Arial"/>
          <w:sz w:val="22"/>
          <w:szCs w:val="22"/>
        </w:rPr>
        <w:t>, účetně oddělených</w:t>
      </w:r>
      <w:r w:rsidR="00352C86">
        <w:rPr>
          <w:rFonts w:ascii="Arial" w:hAnsi="Arial" w:cs="Arial"/>
          <w:sz w:val="22"/>
          <w:szCs w:val="22"/>
        </w:rPr>
        <w:t xml:space="preserve"> jednotek</w:t>
      </w:r>
      <w:r w:rsidR="00352C86">
        <w:rPr>
          <w:rFonts w:ascii="Arial" w:eastAsia="Arial" w:hAnsi="Arial" w:cs="Arial"/>
          <w:sz w:val="22"/>
          <w:szCs w:val="22"/>
        </w:rPr>
        <w:t>)</w:t>
      </w:r>
      <w:r>
        <w:rPr>
          <w:rFonts w:ascii="Arial" w:eastAsia="Arial" w:hAnsi="Arial" w:cs="Arial"/>
          <w:sz w:val="22"/>
          <w:szCs w:val="22"/>
        </w:rPr>
        <w:t xml:space="preserve"> propojujících ty nejlepší týmy, které má Česká republika v dané oblasti k dispozici. Dále se předpokládá, že program bude řídit Rada programu Národní centra kompetence</w:t>
      </w:r>
      <w:r w:rsidR="0095286C">
        <w:rPr>
          <w:rFonts w:ascii="Arial" w:eastAsia="Arial" w:hAnsi="Arial" w:cs="Arial"/>
          <w:sz w:val="22"/>
          <w:szCs w:val="22"/>
        </w:rPr>
        <w:t xml:space="preserve"> (s pravomocí </w:t>
      </w:r>
      <w:r w:rsidR="00900813">
        <w:rPr>
          <w:rFonts w:ascii="Arial" w:eastAsia="Arial" w:hAnsi="Arial" w:cs="Arial"/>
          <w:sz w:val="22"/>
          <w:szCs w:val="22"/>
        </w:rPr>
        <w:t xml:space="preserve">navrhnout poskytovateli </w:t>
      </w:r>
      <w:r w:rsidR="0095286C">
        <w:rPr>
          <w:rFonts w:ascii="Arial" w:eastAsia="Arial" w:hAnsi="Arial" w:cs="Arial"/>
          <w:sz w:val="22"/>
          <w:szCs w:val="22"/>
        </w:rPr>
        <w:t>ukončit neúspěšné projekty na základě stanovených podmínek)</w:t>
      </w:r>
      <w:r>
        <w:rPr>
          <w:rFonts w:ascii="Arial" w:eastAsia="Arial" w:hAnsi="Arial" w:cs="Arial"/>
          <w:sz w:val="22"/>
          <w:szCs w:val="22"/>
        </w:rPr>
        <w:t>, která bude složena ze zástupců veřejné správy, výzkumné i aplikační sféry.</w:t>
      </w:r>
      <w:r w:rsidR="001865EB">
        <w:rPr>
          <w:rFonts w:ascii="Arial" w:eastAsia="Arial" w:hAnsi="Arial" w:cs="Arial"/>
          <w:sz w:val="22"/>
          <w:szCs w:val="22"/>
        </w:rPr>
        <w:t xml:space="preserve"> Část členů Rady bude ze zahraničních pracovišť.</w:t>
      </w:r>
      <w:r>
        <w:rPr>
          <w:rFonts w:ascii="Arial" w:eastAsia="Arial" w:hAnsi="Arial" w:cs="Arial"/>
          <w:sz w:val="22"/>
          <w:szCs w:val="22"/>
        </w:rPr>
        <w:t xml:space="preserve"> Jednotlivá centra pak bude řídit Rada centra, která bude složena na obdobném principu.</w:t>
      </w:r>
      <w:r w:rsidR="00665AD8">
        <w:rPr>
          <w:rFonts w:ascii="Arial" w:eastAsia="Arial" w:hAnsi="Arial" w:cs="Arial"/>
          <w:sz w:val="22"/>
          <w:szCs w:val="22"/>
        </w:rPr>
        <w:t xml:space="preserve"> </w:t>
      </w:r>
      <w:r w:rsidR="00665AD8" w:rsidRPr="00665AD8">
        <w:rPr>
          <w:rFonts w:ascii="Arial" w:eastAsia="Arial" w:hAnsi="Arial" w:cs="Arial"/>
          <w:sz w:val="22"/>
          <w:szCs w:val="22"/>
        </w:rPr>
        <w:t xml:space="preserve">Rada centra bude určovat koncepční a strategické směřování centra kompetence a činit </w:t>
      </w:r>
      <w:r w:rsidR="00665AD8" w:rsidRPr="00665AD8">
        <w:rPr>
          <w:rFonts w:ascii="Arial" w:eastAsia="Arial" w:hAnsi="Arial" w:cs="Arial"/>
          <w:sz w:val="22"/>
          <w:szCs w:val="22"/>
        </w:rPr>
        <w:lastRenderedPageBreak/>
        <w:t>zásadní rozhodnutí týkající se jeho fungování, zejm. dohlížet na plnění strategické výzkumné agendy, spolupráci s aplikační sférou. Rada centra se zodpovídá Radě programu Národní centra kompetence</w:t>
      </w:r>
      <w:r w:rsidR="00665AD8">
        <w:rPr>
          <w:rFonts w:ascii="Arial" w:eastAsia="Arial" w:hAnsi="Arial" w:cs="Arial"/>
          <w:sz w:val="22"/>
          <w:szCs w:val="22"/>
        </w:rPr>
        <w: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možné využít pro synergické a komplementární efekty v mezinárodních schématech typu H2020</w:t>
      </w:r>
      <w:r>
        <w:rPr>
          <w:rFonts w:ascii="Arial" w:eastAsia="Arial" w:hAnsi="Arial" w:cs="Arial"/>
          <w:sz w:val="22"/>
          <w:szCs w:val="22"/>
          <w:vertAlign w:val="superscript"/>
        </w:rPr>
        <w:footnoteReference w:id="1"/>
      </w:r>
      <w:r>
        <w:rPr>
          <w:rFonts w:ascii="Arial" w:eastAsia="Arial" w:hAnsi="Arial" w:cs="Arial"/>
          <w:sz w:val="22"/>
          <w:szCs w:val="22"/>
        </w:rPr>
        <w:t xml:space="preserve">, dalších programech EU a dalších mezinárodních programech, které jsou v souladu se zaměřením programu. </w:t>
      </w:r>
    </w:p>
    <w:p w:rsidR="009C04DF" w:rsidRDefault="00C81E56">
      <w:pPr>
        <w:pStyle w:val="Nadpis1"/>
        <w:numPr>
          <w:ilvl w:val="0"/>
          <w:numId w:val="2"/>
        </w:numPr>
        <w:ind w:hanging="432"/>
        <w:rPr>
          <w:rFonts w:ascii="Arial" w:eastAsia="Arial" w:hAnsi="Arial" w:cs="Arial"/>
        </w:rPr>
      </w:pPr>
      <w:r>
        <w:rPr>
          <w:rFonts w:ascii="Arial" w:eastAsia="Arial" w:hAnsi="Arial" w:cs="Arial"/>
        </w:rPr>
        <w:t>CÍL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Cílem programu je zvýšení efektivity a kvality výsledků aplikovaného výzkumu a transferu technologií v </w:t>
      </w:r>
      <w:r w:rsidR="00363D10">
        <w:rPr>
          <w:rFonts w:ascii="Arial" w:eastAsia="Arial" w:hAnsi="Arial" w:cs="Arial"/>
          <w:sz w:val="22"/>
          <w:szCs w:val="22"/>
        </w:rPr>
        <w:t>klíčových</w:t>
      </w:r>
      <w:r>
        <w:rPr>
          <w:rFonts w:ascii="Arial" w:eastAsia="Arial" w:hAnsi="Arial" w:cs="Arial"/>
          <w:sz w:val="22"/>
          <w:szCs w:val="22"/>
        </w:rPr>
        <w:t xml:space="preserve"> oborech</w:t>
      </w:r>
      <w:r w:rsidR="00363D10">
        <w:rPr>
          <w:rFonts w:ascii="Arial" w:eastAsia="Arial" w:hAnsi="Arial" w:cs="Arial"/>
          <w:sz w:val="22"/>
          <w:szCs w:val="22"/>
        </w:rPr>
        <w:t xml:space="preserve"> s perspektivou růstu</w:t>
      </w:r>
      <w:r>
        <w:rPr>
          <w:rFonts w:ascii="Arial" w:eastAsia="Arial" w:hAnsi="Arial" w:cs="Arial"/>
          <w:sz w:val="22"/>
          <w:szCs w:val="22"/>
        </w:rPr>
        <w:t>, zvýšení konkurenceschopnosti podniků a posílení excelence a aplikační relevance výzkumných organizací.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Nástrojem pro dosažení tohoto cíle je vybudování dostatečně stabilní a dlouhodobé základny aplikovaného výzkumu (v podobě národních center kompetence), a to prostřednictvím koncentrace výzkumných kapacit a nastavení jejich silné orientace na aplikaci výsledků jejich výzkumu v praxi.</w:t>
      </w:r>
      <w:r w:rsidR="00E1797C">
        <w:rPr>
          <w:rFonts w:ascii="Arial" w:eastAsia="Arial" w:hAnsi="Arial" w:cs="Arial"/>
          <w:sz w:val="22"/>
          <w:szCs w:val="22"/>
        </w:rPr>
        <w:t xml:space="preserve"> </w:t>
      </w:r>
      <w:r w:rsidR="00584428">
        <w:rPr>
          <w:rFonts w:ascii="Arial" w:eastAsia="Arial" w:hAnsi="Arial" w:cs="Arial"/>
          <w:sz w:val="22"/>
          <w:szCs w:val="22"/>
        </w:rPr>
        <w:t>Aby byla zajištěna dlouhodobá stabilita systému, budou moci být c</w:t>
      </w:r>
      <w:r w:rsidR="00E1797C">
        <w:rPr>
          <w:rFonts w:ascii="Arial" w:eastAsia="Arial" w:hAnsi="Arial" w:cs="Arial"/>
          <w:sz w:val="22"/>
          <w:szCs w:val="22"/>
        </w:rPr>
        <w:t xml:space="preserve">entra podpořená v rámci programu Národní centra kompetence 1, která budou na základě </w:t>
      </w:r>
      <w:r w:rsidR="000039AE">
        <w:rPr>
          <w:rFonts w:ascii="Arial" w:eastAsia="Arial" w:hAnsi="Arial" w:cs="Arial"/>
          <w:sz w:val="22"/>
          <w:szCs w:val="22"/>
        </w:rPr>
        <w:t xml:space="preserve">stanovených </w:t>
      </w:r>
      <w:r w:rsidR="00CC5BE7">
        <w:rPr>
          <w:rFonts w:ascii="Arial" w:eastAsia="Arial" w:hAnsi="Arial" w:cs="Arial"/>
          <w:sz w:val="22"/>
          <w:szCs w:val="22"/>
        </w:rPr>
        <w:t>kritérií</w:t>
      </w:r>
      <w:r w:rsidR="000039AE">
        <w:rPr>
          <w:rFonts w:ascii="Arial" w:eastAsia="Arial" w:hAnsi="Arial" w:cs="Arial"/>
          <w:sz w:val="22"/>
          <w:szCs w:val="22"/>
        </w:rPr>
        <w:t xml:space="preserve"> vyhodnocena jako úspěšná, následně podpořena v navazujícím programu Národní centra kompetence 2.</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Mezi dílčí cíle programu patří (i) propojení stávajících výzkumných center, </w:t>
      </w:r>
      <w:r w:rsidR="00665AD8" w:rsidRPr="00665AD8">
        <w:rPr>
          <w:rFonts w:ascii="Arial" w:eastAsia="Arial" w:hAnsi="Arial" w:cs="Arial"/>
          <w:sz w:val="22"/>
          <w:szCs w:val="22"/>
        </w:rPr>
        <w:t xml:space="preserve">(ii) zaměření na perspektivní sektory české ekonomiky dle Národní RIS3 strategie, </w:t>
      </w:r>
      <w:r>
        <w:rPr>
          <w:rFonts w:ascii="Arial" w:eastAsia="Arial" w:hAnsi="Arial" w:cs="Arial"/>
          <w:sz w:val="22"/>
          <w:szCs w:val="22"/>
        </w:rPr>
        <w:t>(i</w:t>
      </w:r>
      <w:r w:rsidR="00665AD8">
        <w:rPr>
          <w:rFonts w:ascii="Arial" w:eastAsia="Arial" w:hAnsi="Arial" w:cs="Arial"/>
          <w:sz w:val="22"/>
          <w:szCs w:val="22"/>
        </w:rPr>
        <w:t>i</w:t>
      </w:r>
      <w:r>
        <w:rPr>
          <w:rFonts w:ascii="Arial" w:eastAsia="Arial" w:hAnsi="Arial" w:cs="Arial"/>
          <w:sz w:val="22"/>
          <w:szCs w:val="22"/>
        </w:rPr>
        <w:t>i) zajištění mezioborovosti a podpora dlouhodobé spolupráce, (i</w:t>
      </w:r>
      <w:r w:rsidR="00665AD8">
        <w:rPr>
          <w:rFonts w:ascii="Arial" w:eastAsia="Arial" w:hAnsi="Arial" w:cs="Arial"/>
          <w:sz w:val="22"/>
          <w:szCs w:val="22"/>
        </w:rPr>
        <w:t>v</w:t>
      </w:r>
      <w:r>
        <w:rPr>
          <w:rFonts w:ascii="Arial" w:eastAsia="Arial" w:hAnsi="Arial" w:cs="Arial"/>
          <w:sz w:val="22"/>
          <w:szCs w:val="22"/>
        </w:rPr>
        <w:t>) podpora inovací prostřednictvím transferu technologií, důraz na aplikovatelnost výsledků</w:t>
      </w:r>
      <w:r w:rsidR="00900813">
        <w:rPr>
          <w:rFonts w:ascii="Arial" w:eastAsia="Arial" w:hAnsi="Arial" w:cs="Arial"/>
          <w:sz w:val="22"/>
          <w:szCs w:val="22"/>
        </w:rPr>
        <w:t xml:space="preserve"> v praxi</w:t>
      </w:r>
      <w:r>
        <w:rPr>
          <w:rFonts w:ascii="Arial" w:eastAsia="Arial" w:hAnsi="Arial" w:cs="Arial"/>
          <w:sz w:val="22"/>
          <w:szCs w:val="22"/>
        </w:rPr>
        <w:t xml:space="preserve"> a (v) zvýšení počtu inovačních lídrů.</w:t>
      </w:r>
    </w:p>
    <w:p w:rsidR="009C04DF" w:rsidRDefault="00C81E56">
      <w:pPr>
        <w:pStyle w:val="Nadpis1"/>
        <w:numPr>
          <w:ilvl w:val="0"/>
          <w:numId w:val="2"/>
        </w:numPr>
        <w:ind w:hanging="432"/>
        <w:rPr>
          <w:rFonts w:ascii="Arial" w:eastAsia="Arial" w:hAnsi="Arial" w:cs="Arial"/>
        </w:rPr>
      </w:pPr>
      <w:r>
        <w:rPr>
          <w:rFonts w:ascii="Arial" w:eastAsia="Arial" w:hAnsi="Arial" w:cs="Arial"/>
        </w:rPr>
        <w:t>ODŮVODNĚNÍ CÍLE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by měl reagovat na změny a identifikované nedostatky zjištěné v rámci hodnocení podpory aplikovaného výzkumu. Jedná se především o nedostatečnou spolupráci a výměnu zkušeností výzkumných organizací s aplikační sférou. Obecněji pak o nedostatečnou konkurenceschopnost podniků i výzkumných organizací v mezinárodním srovnání.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České republice v současné době existuje celkem 34 Center kompetence, 48 VaVpI center a 37 Center excelence GAČR různých velikostí a různého zaměření</w:t>
      </w:r>
      <w:r>
        <w:rPr>
          <w:rFonts w:ascii="Arial" w:eastAsia="Arial" w:hAnsi="Arial" w:cs="Arial"/>
          <w:sz w:val="22"/>
          <w:szCs w:val="22"/>
          <w:vertAlign w:val="superscript"/>
        </w:rPr>
        <w:footnoteReference w:id="2"/>
      </w:r>
      <w:r>
        <w:rPr>
          <w:rFonts w:ascii="Arial" w:eastAsia="Arial" w:hAnsi="Arial" w:cs="Arial"/>
          <w:sz w:val="22"/>
          <w:szCs w:val="22"/>
        </w:rPr>
        <w:t>. Dále zde existují velké infrastruktury pro výzkum, experimentální vývoj a inovace, které jsou mnohdy součástí evropských výzkumných infrastruktur schválených ESFRI (European Strategy Forum on Research Infrastructures) a uvedené v tzv. ESFRI Roadmap. V současné době je nutné zabývat se aktivitami, které povedou ke koncentraci a integraci výzkumných kapacit.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Důvody vzniku programu jsou obdobně zachyceny v Národní politice výzkumu, vývoje a inovací České republiky na léta 2016 – 2020. Podle tohoto dokumentu v oblasti spolupráce soukromého a veřejného sektoru: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není v České republice dostatečně rozvinutá veřejná základna aplikovaného výzkumu;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centra transferu znalostí a interní systémy pro komercializaci ve výzkumných organizacích nejsou dostatečně účinné;</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chybí motivace výzkumných pracovišť k realizaci výzkumu a vývoje pro potřeby uživatelů;</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lastRenderedPageBreak/>
        <w:t>nejsou navazovány dlouhodobé strategické spolupráce výzkumných organizací a podniků.</w:t>
      </w:r>
    </w:p>
    <w:p w:rsidR="009C04DF" w:rsidRDefault="00C81E56">
      <w:pPr>
        <w:pStyle w:val="Nadpis1"/>
        <w:numPr>
          <w:ilvl w:val="0"/>
          <w:numId w:val="2"/>
        </w:numPr>
        <w:ind w:hanging="432"/>
        <w:rPr>
          <w:rFonts w:ascii="Arial" w:eastAsia="Arial" w:hAnsi="Arial" w:cs="Arial"/>
        </w:rPr>
      </w:pPr>
      <w:r>
        <w:rPr>
          <w:rFonts w:ascii="Arial" w:eastAsia="Arial" w:hAnsi="Arial" w:cs="Arial"/>
        </w:rPr>
        <w:t xml:space="preserve">KRITÉRIA SPLNĚNÍ CÍLŮ PROGRAMU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Dosažení cílů programu bude vyhodnocováno v souladu s Metodikou hodnocení výsledků výzkumných organizací a hodnocení výsledků ukončených programů platnou v době hodnocení programu, případně podmínkami stanovenými poskytovatelem. Dosažení cílů programu bude vyhodnocováno mimo jiné na základě souboru indikátorů určených pro monitorování průběhu plnění programu a hodnocení jeho celkové výkonnosti a úspěšnosti. </w:t>
      </w:r>
    </w:p>
    <w:p w:rsidR="00EA4D80" w:rsidRDefault="00EA4D80">
      <w:pPr>
        <w:spacing w:before="120" w:after="120"/>
        <w:jc w:val="both"/>
        <w:rPr>
          <w:rFonts w:ascii="Arial" w:hAnsi="Arial" w:cs="Arial"/>
          <w:sz w:val="22"/>
          <w:szCs w:val="22"/>
        </w:rPr>
      </w:pPr>
      <w:r w:rsidRPr="00EA4D80">
        <w:rPr>
          <w:rFonts w:ascii="Arial" w:eastAsia="Arial" w:hAnsi="Arial" w:cs="Arial"/>
          <w:sz w:val="22"/>
          <w:szCs w:val="22"/>
        </w:rPr>
        <w:t>Objem prostředků veřejných zdrojů každého centra bude vázán na objem prostředků, jež získá z neveřejných prostředků formou smluvního výzkumu, licencí</w:t>
      </w:r>
      <w:r w:rsidR="001865EB">
        <w:rPr>
          <w:rFonts w:ascii="Arial" w:eastAsia="Arial" w:hAnsi="Arial" w:cs="Arial"/>
          <w:sz w:val="22"/>
          <w:szCs w:val="22"/>
        </w:rPr>
        <w:t xml:space="preserve"> (uznány však budou licenční příjmy vázané na výsledky projektu, a to do max</w:t>
      </w:r>
      <w:r w:rsidR="004774F6">
        <w:rPr>
          <w:rFonts w:ascii="Arial" w:eastAsia="Arial" w:hAnsi="Arial" w:cs="Arial"/>
          <w:sz w:val="22"/>
          <w:szCs w:val="22"/>
        </w:rPr>
        <w:t>imální</w:t>
      </w:r>
      <w:r w:rsidR="001865EB">
        <w:rPr>
          <w:rFonts w:ascii="Arial" w:eastAsia="Arial" w:hAnsi="Arial" w:cs="Arial"/>
          <w:sz w:val="22"/>
          <w:szCs w:val="22"/>
        </w:rPr>
        <w:t xml:space="preserve"> výše 20 procent objemu získaných neveřejných zdrojů)</w:t>
      </w:r>
      <w:r w:rsidRPr="00EA4D80">
        <w:rPr>
          <w:rFonts w:ascii="Arial" w:eastAsia="Arial" w:hAnsi="Arial" w:cs="Arial"/>
          <w:sz w:val="22"/>
          <w:szCs w:val="22"/>
        </w:rPr>
        <w:t>, případně dalšími formami komerčních příjmů.</w:t>
      </w:r>
      <w:r w:rsidR="00DC5239">
        <w:rPr>
          <w:rFonts w:ascii="Arial" w:eastAsia="Arial" w:hAnsi="Arial" w:cs="Arial"/>
          <w:sz w:val="22"/>
          <w:szCs w:val="22"/>
        </w:rPr>
        <w:t xml:space="preserve"> </w:t>
      </w:r>
      <w:r w:rsidR="006833D3">
        <w:rPr>
          <w:rFonts w:ascii="Arial" w:eastAsia="Arial" w:hAnsi="Arial" w:cs="Arial"/>
          <w:sz w:val="22"/>
          <w:szCs w:val="22"/>
        </w:rPr>
        <w:t>Předpokládá se, že centra budou dále participovat v projektech kolaborativního výzkumu financovaných z programů T</w:t>
      </w:r>
      <w:r w:rsidR="00DF3B3E">
        <w:rPr>
          <w:rFonts w:ascii="Arial" w:eastAsia="Arial" w:hAnsi="Arial" w:cs="Arial"/>
          <w:sz w:val="22"/>
          <w:szCs w:val="22"/>
        </w:rPr>
        <w:t>echnologické agentury</w:t>
      </w:r>
      <w:r w:rsidR="006833D3">
        <w:rPr>
          <w:rFonts w:ascii="Arial" w:eastAsia="Arial" w:hAnsi="Arial" w:cs="Arial"/>
          <w:sz w:val="22"/>
          <w:szCs w:val="22"/>
        </w:rPr>
        <w:t xml:space="preserve"> ČR i dalších poskytovatelů</w:t>
      </w:r>
      <w:r w:rsidR="00EA0F6E">
        <w:rPr>
          <w:rFonts w:ascii="Arial" w:eastAsia="Arial" w:hAnsi="Arial" w:cs="Arial"/>
          <w:sz w:val="22"/>
          <w:szCs w:val="22"/>
        </w:rPr>
        <w:t xml:space="preserve"> podpory dle zákona 130/2002 Sb. a také mezinárodních programů (např. Horizont 2020)</w:t>
      </w:r>
      <w:r w:rsidR="006833D3">
        <w:rPr>
          <w:rFonts w:ascii="Arial" w:eastAsia="Arial" w:hAnsi="Arial" w:cs="Arial"/>
          <w:sz w:val="22"/>
          <w:szCs w:val="22"/>
        </w:rPr>
        <w:t xml:space="preserve">. </w:t>
      </w:r>
      <w:r w:rsidR="00DC5239">
        <w:rPr>
          <w:rFonts w:ascii="Arial" w:hAnsi="Arial" w:cs="Arial"/>
          <w:sz w:val="22"/>
          <w:szCs w:val="22"/>
        </w:rPr>
        <w:t xml:space="preserve">Centra by tak měla být financována </w:t>
      </w:r>
      <w:r w:rsidR="00C86B36">
        <w:rPr>
          <w:rFonts w:ascii="Arial" w:hAnsi="Arial" w:cs="Arial"/>
          <w:sz w:val="22"/>
          <w:szCs w:val="22"/>
        </w:rPr>
        <w:t xml:space="preserve">zejména </w:t>
      </w:r>
      <w:r w:rsidR="00DC5239">
        <w:rPr>
          <w:rFonts w:ascii="Arial" w:hAnsi="Arial" w:cs="Arial"/>
          <w:sz w:val="22"/>
          <w:szCs w:val="22"/>
        </w:rPr>
        <w:t>ze tří hlavních zdrojů – (i) programu Národní centra kompetence, (ii) dotací na kolaborativní výzkum a (iii) smluvního výzkumu a jiných komerčních příjmů.</w:t>
      </w:r>
    </w:p>
    <w:p w:rsidR="0036175A" w:rsidRDefault="00F2744A">
      <w:pPr>
        <w:spacing w:before="120" w:after="120"/>
        <w:jc w:val="both"/>
        <w:rPr>
          <w:rFonts w:ascii="Arial" w:eastAsia="Arial" w:hAnsi="Arial" w:cs="Arial"/>
          <w:sz w:val="22"/>
          <w:szCs w:val="22"/>
        </w:rPr>
      </w:pPr>
      <w:r>
        <w:rPr>
          <w:rFonts w:ascii="Arial" w:hAnsi="Arial" w:cs="Arial"/>
          <w:sz w:val="22"/>
          <w:szCs w:val="22"/>
        </w:rPr>
        <w:t>Poskytovatel bude každoročně vyhodnocovat plnění stanovených kritérií</w:t>
      </w:r>
      <w:r w:rsidR="00B00249">
        <w:rPr>
          <w:rFonts w:ascii="Arial" w:hAnsi="Arial" w:cs="Arial"/>
          <w:sz w:val="22"/>
          <w:szCs w:val="22"/>
        </w:rPr>
        <w:t xml:space="preserve">. Klíčovým a rozhodujícím </w:t>
      </w:r>
      <w:r>
        <w:rPr>
          <w:rFonts w:ascii="Arial" w:hAnsi="Arial" w:cs="Arial"/>
          <w:sz w:val="22"/>
          <w:szCs w:val="22"/>
        </w:rPr>
        <w:t>kritéri</w:t>
      </w:r>
      <w:r w:rsidR="00B00249">
        <w:rPr>
          <w:rFonts w:ascii="Arial" w:hAnsi="Arial" w:cs="Arial"/>
          <w:sz w:val="22"/>
          <w:szCs w:val="22"/>
        </w:rPr>
        <w:t>em bude objem</w:t>
      </w:r>
      <w:r>
        <w:rPr>
          <w:rFonts w:ascii="Arial" w:hAnsi="Arial" w:cs="Arial"/>
          <w:sz w:val="22"/>
          <w:szCs w:val="22"/>
        </w:rPr>
        <w:t xml:space="preserve"> financování center z neveřejných prostředků</w:t>
      </w:r>
      <w:r w:rsidR="00B00249">
        <w:rPr>
          <w:rFonts w:ascii="Arial" w:hAnsi="Arial" w:cs="Arial"/>
          <w:sz w:val="22"/>
          <w:szCs w:val="22"/>
        </w:rPr>
        <w:t>. Dále bude posuzováno naplňování kritérií</w:t>
      </w:r>
      <w:r w:rsidR="00C86B36">
        <w:rPr>
          <w:rFonts w:ascii="Arial" w:hAnsi="Arial" w:cs="Arial"/>
          <w:sz w:val="22"/>
          <w:szCs w:val="22"/>
        </w:rPr>
        <w:t xml:space="preserve"> </w:t>
      </w:r>
      <w:r w:rsidR="001B44F9">
        <w:rPr>
          <w:rFonts w:ascii="Arial" w:hAnsi="Arial" w:cs="Arial"/>
          <w:sz w:val="22"/>
          <w:szCs w:val="22"/>
        </w:rPr>
        <w:t>sloužících</w:t>
      </w:r>
      <w:r w:rsidR="00B00249">
        <w:rPr>
          <w:rFonts w:ascii="Arial" w:hAnsi="Arial" w:cs="Arial"/>
          <w:sz w:val="22"/>
          <w:szCs w:val="22"/>
        </w:rPr>
        <w:t xml:space="preserve"> k hodnocení projektu a jsou uvedeny v kap. 16</w:t>
      </w:r>
      <w:r w:rsidR="001B44F9">
        <w:rPr>
          <w:rFonts w:ascii="Arial" w:hAnsi="Arial" w:cs="Arial"/>
          <w:sz w:val="22"/>
          <w:szCs w:val="22"/>
        </w:rPr>
        <w:t>.</w:t>
      </w:r>
      <w:r w:rsidR="00B00249">
        <w:rPr>
          <w:rFonts w:ascii="Arial" w:hAnsi="Arial" w:cs="Arial"/>
          <w:sz w:val="22"/>
          <w:szCs w:val="22"/>
        </w:rPr>
        <w:t xml:space="preserve"> Poskytovatel </w:t>
      </w:r>
      <w:r>
        <w:rPr>
          <w:rFonts w:ascii="Arial" w:hAnsi="Arial" w:cs="Arial"/>
          <w:sz w:val="22"/>
          <w:szCs w:val="22"/>
        </w:rPr>
        <w:t>bude oprávněn na základě tohoto vyhodnocení upravit rozpočet daného centra na následující rok</w:t>
      </w:r>
      <w:r w:rsidR="002B0DF9">
        <w:rPr>
          <w:rFonts w:ascii="Arial" w:hAnsi="Arial" w:cs="Arial"/>
          <w:sz w:val="22"/>
          <w:szCs w:val="22"/>
        </w:rPr>
        <w:t>.</w:t>
      </w:r>
    </w:p>
    <w:p w:rsidR="009C04DF" w:rsidRDefault="00C81E56">
      <w:pPr>
        <w:keepNext/>
        <w:tabs>
          <w:tab w:val="left" w:pos="360"/>
        </w:tabs>
        <w:spacing w:before="120" w:after="120"/>
        <w:jc w:val="both"/>
        <w:rPr>
          <w:rFonts w:ascii="Arial" w:eastAsia="Arial" w:hAnsi="Arial" w:cs="Arial"/>
          <w:b/>
          <w:sz w:val="22"/>
          <w:szCs w:val="22"/>
        </w:rPr>
      </w:pPr>
      <w:r>
        <w:rPr>
          <w:rFonts w:ascii="Arial" w:eastAsia="Arial" w:hAnsi="Arial" w:cs="Arial"/>
          <w:b/>
          <w:sz w:val="22"/>
          <w:szCs w:val="22"/>
        </w:rPr>
        <w:t>Tabulka č. 9. 1: Indikátory programu</w:t>
      </w:r>
    </w:p>
    <w:tbl>
      <w:tblPr>
        <w:tblStyle w:val="a"/>
        <w:tblW w:w="95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20"/>
        <w:gridCol w:w="1470"/>
      </w:tblGrid>
      <w:tr w:rsidR="009C04DF">
        <w:trPr>
          <w:cnfStyle w:val="000000100000" w:firstRow="0" w:lastRow="0" w:firstColumn="0" w:lastColumn="0" w:oddVBand="0" w:evenVBand="0" w:oddHBand="1" w:evenHBand="0" w:firstRowFirstColumn="0" w:firstRowLastColumn="0" w:lastRowFirstColumn="0" w:lastRowLastColumn="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b/>
                <w:sz w:val="22"/>
                <w:szCs w:val="22"/>
              </w:rPr>
              <w:t>Indikátor</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b/>
                <w:sz w:val="22"/>
                <w:szCs w:val="22"/>
              </w:rPr>
              <w:t>Hodnota</w:t>
            </w:r>
          </w:p>
        </w:tc>
      </w:tr>
      <w:tr w:rsidR="009C04DF" w:rsidTr="009C04DF">
        <w:trPr>
          <w:cnfStyle w:val="000000010000" w:firstRow="0" w:lastRow="0" w:firstColumn="0" w:lastColumn="0" w:oddVBand="0" w:evenVBand="0" w:oddHBand="0" w:evenHBand="1"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1. Průměrná míra podpory za program</w:t>
            </w:r>
          </w:p>
        </w:tc>
        <w:tc>
          <w:tcPr>
            <w:tcW w:w="1470" w:type="dxa"/>
          </w:tcPr>
          <w:p w:rsidR="009C04DF" w:rsidRDefault="0036175A" w:rsidP="0036175A">
            <w:pPr>
              <w:spacing w:before="120" w:after="120"/>
              <w:contextualSpacing w:val="0"/>
              <w:jc w:val="both"/>
              <w:rPr>
                <w:rFonts w:ascii="Arial" w:eastAsia="Arial" w:hAnsi="Arial" w:cs="Arial"/>
                <w:sz w:val="22"/>
                <w:szCs w:val="22"/>
              </w:rPr>
            </w:pPr>
            <w:r>
              <w:rPr>
                <w:rFonts w:ascii="Arial" w:eastAsia="Arial" w:hAnsi="Arial" w:cs="Arial"/>
                <w:sz w:val="22"/>
                <w:szCs w:val="22"/>
              </w:rPr>
              <w:t>8</w:t>
            </w:r>
            <w:r w:rsidR="000E5AF9">
              <w:rPr>
                <w:rFonts w:ascii="Arial" w:eastAsia="Arial" w:hAnsi="Arial" w:cs="Arial"/>
                <w:sz w:val="22"/>
                <w:szCs w:val="22"/>
              </w:rPr>
              <w:t xml:space="preserve">0 </w:t>
            </w:r>
            <w:r w:rsidR="00C81E56">
              <w:rPr>
                <w:rFonts w:ascii="Arial" w:eastAsia="Arial" w:hAnsi="Arial" w:cs="Arial"/>
                <w:sz w:val="22"/>
                <w:szCs w:val="22"/>
              </w:rPr>
              <w:t>%</w:t>
            </w:r>
          </w:p>
        </w:tc>
      </w:tr>
      <w:tr w:rsidR="009C04DF" w:rsidTr="009C04DF">
        <w:trPr>
          <w:cnfStyle w:val="000000100000" w:firstRow="0" w:lastRow="0" w:firstColumn="0" w:lastColumn="0" w:oddVBand="0" w:evenVBand="0" w:oddHBand="1" w:evenHBand="0"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2. Minimální počet podpořených projektů</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5</w:t>
            </w:r>
          </w:p>
        </w:tc>
      </w:tr>
      <w:tr w:rsidR="009C04DF" w:rsidTr="009C04DF">
        <w:trPr>
          <w:cnfStyle w:val="000000010000" w:firstRow="0" w:lastRow="0" w:firstColumn="0" w:lastColumn="0" w:oddVBand="0" w:evenVBand="0" w:oddHBand="0" w:evenHBand="1"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3. Minimální objem smluvního výzkumu realizovaného v</w:t>
            </w:r>
            <w:r w:rsidR="000E5AF9">
              <w:rPr>
                <w:rFonts w:ascii="Arial" w:eastAsia="Arial" w:hAnsi="Arial" w:cs="Arial"/>
                <w:sz w:val="22"/>
                <w:szCs w:val="22"/>
              </w:rPr>
              <w:t> </w:t>
            </w:r>
            <w:r>
              <w:rPr>
                <w:rFonts w:ascii="Arial" w:eastAsia="Arial" w:hAnsi="Arial" w:cs="Arial"/>
                <w:sz w:val="22"/>
                <w:szCs w:val="22"/>
              </w:rPr>
              <w:t>centrech</w:t>
            </w:r>
            <w:r w:rsidR="000E5AF9">
              <w:rPr>
                <w:rFonts w:ascii="Arial" w:eastAsia="Arial" w:hAnsi="Arial" w:cs="Arial"/>
                <w:sz w:val="22"/>
                <w:szCs w:val="22"/>
              </w:rPr>
              <w:t xml:space="preserve"> a dalších příjmů</w:t>
            </w:r>
            <w:r>
              <w:rPr>
                <w:rFonts w:ascii="Arial" w:eastAsia="Arial" w:hAnsi="Arial" w:cs="Arial"/>
                <w:sz w:val="22"/>
                <w:szCs w:val="22"/>
              </w:rPr>
              <w:t xml:space="preserve"> souhrnně v době trvání programu</w:t>
            </w:r>
          </w:p>
        </w:tc>
        <w:tc>
          <w:tcPr>
            <w:tcW w:w="1470" w:type="dxa"/>
          </w:tcPr>
          <w:p w:rsidR="009C04DF" w:rsidRDefault="00E42255" w:rsidP="00E42255">
            <w:pPr>
              <w:spacing w:before="120" w:after="120"/>
              <w:contextualSpacing w:val="0"/>
              <w:jc w:val="both"/>
              <w:rPr>
                <w:rFonts w:ascii="Arial" w:eastAsia="Arial" w:hAnsi="Arial" w:cs="Arial"/>
                <w:sz w:val="22"/>
                <w:szCs w:val="22"/>
              </w:rPr>
            </w:pPr>
            <w:r>
              <w:rPr>
                <w:rFonts w:ascii="Arial" w:eastAsia="Arial" w:hAnsi="Arial" w:cs="Arial"/>
                <w:sz w:val="22"/>
                <w:szCs w:val="22"/>
              </w:rPr>
              <w:t> </w:t>
            </w:r>
            <w:r w:rsidR="002C6D15">
              <w:rPr>
                <w:rFonts w:ascii="Arial" w:eastAsia="Arial" w:hAnsi="Arial" w:cs="Arial"/>
                <w:sz w:val="22"/>
                <w:szCs w:val="22"/>
              </w:rPr>
              <w:t>36</w:t>
            </w:r>
            <w:r w:rsidR="00677011">
              <w:rPr>
                <w:rFonts w:ascii="Arial" w:eastAsia="Arial" w:hAnsi="Arial" w:cs="Arial"/>
                <w:sz w:val="22"/>
                <w:szCs w:val="22"/>
              </w:rPr>
              <w:t>6</w:t>
            </w:r>
            <w:r>
              <w:rPr>
                <w:rFonts w:ascii="Arial" w:eastAsia="Arial" w:hAnsi="Arial" w:cs="Arial"/>
                <w:sz w:val="22"/>
                <w:szCs w:val="22"/>
              </w:rPr>
              <w:t xml:space="preserve"> mil</w:t>
            </w:r>
            <w:r w:rsidR="00C81E56">
              <w:rPr>
                <w:rFonts w:ascii="Arial" w:eastAsia="Arial" w:hAnsi="Arial" w:cs="Arial"/>
                <w:sz w:val="22"/>
                <w:szCs w:val="22"/>
              </w:rPr>
              <w:t>. Kč</w:t>
            </w:r>
          </w:p>
        </w:tc>
      </w:tr>
      <w:tr w:rsidR="009C04DF" w:rsidTr="009C04DF">
        <w:trPr>
          <w:cnfStyle w:val="000000100000" w:firstRow="0" w:lastRow="0" w:firstColumn="0" w:lastColumn="0" w:oddVBand="0" w:evenVBand="0" w:oddHBand="1" w:evenHBand="0" w:firstRowFirstColumn="0" w:firstRowLastColumn="0" w:lastRowFirstColumn="0" w:lastRowLastColumn="0"/>
          <w:trHeight w:val="360"/>
        </w:trPr>
        <w:tc>
          <w:tcPr>
            <w:tcW w:w="8120" w:type="dxa"/>
          </w:tcPr>
          <w:p w:rsidR="009C04DF" w:rsidRDefault="00C81E56" w:rsidP="00AC62F7">
            <w:pPr>
              <w:spacing w:before="120" w:after="120"/>
              <w:contextualSpacing w:val="0"/>
              <w:jc w:val="both"/>
              <w:rPr>
                <w:rFonts w:ascii="Arial" w:eastAsia="Arial" w:hAnsi="Arial" w:cs="Arial"/>
                <w:sz w:val="22"/>
                <w:szCs w:val="22"/>
              </w:rPr>
            </w:pPr>
            <w:r>
              <w:rPr>
                <w:rFonts w:ascii="Arial" w:eastAsia="Arial" w:hAnsi="Arial" w:cs="Arial"/>
                <w:sz w:val="22"/>
                <w:szCs w:val="22"/>
              </w:rPr>
              <w:t xml:space="preserve">4. Minimální počet </w:t>
            </w:r>
            <w:r w:rsidR="000B16CB">
              <w:rPr>
                <w:rFonts w:ascii="Arial" w:eastAsia="Arial" w:hAnsi="Arial" w:cs="Arial"/>
                <w:sz w:val="22"/>
                <w:szCs w:val="22"/>
              </w:rPr>
              <w:t>subjektů</w:t>
            </w:r>
            <w:r w:rsidR="000F4054">
              <w:rPr>
                <w:rFonts w:ascii="Arial" w:eastAsia="Arial" w:hAnsi="Arial" w:cs="Arial"/>
                <w:sz w:val="22"/>
                <w:szCs w:val="22"/>
              </w:rPr>
              <w:t xml:space="preserve"> </w:t>
            </w:r>
            <w:r>
              <w:rPr>
                <w:rFonts w:ascii="Arial" w:eastAsia="Arial" w:hAnsi="Arial" w:cs="Arial"/>
                <w:sz w:val="22"/>
                <w:szCs w:val="22"/>
              </w:rPr>
              <w:t>zapojených do činnosti každého centra</w:t>
            </w:r>
            <w:r w:rsidR="000B16CB">
              <w:rPr>
                <w:rFonts w:ascii="Arial" w:eastAsia="Arial" w:hAnsi="Arial" w:cs="Arial"/>
                <w:sz w:val="22"/>
                <w:szCs w:val="22"/>
              </w:rPr>
              <w:t xml:space="preserve"> </w:t>
            </w:r>
          </w:p>
        </w:tc>
        <w:tc>
          <w:tcPr>
            <w:tcW w:w="1470" w:type="dxa"/>
          </w:tcPr>
          <w:p w:rsidR="009C04DF" w:rsidRDefault="000B16CB">
            <w:pPr>
              <w:spacing w:before="120" w:after="120"/>
              <w:contextualSpacing w:val="0"/>
              <w:jc w:val="both"/>
              <w:rPr>
                <w:rFonts w:ascii="Arial" w:eastAsia="Arial" w:hAnsi="Arial" w:cs="Arial"/>
                <w:sz w:val="22"/>
                <w:szCs w:val="22"/>
              </w:rPr>
            </w:pPr>
            <w:r>
              <w:rPr>
                <w:rFonts w:ascii="Arial" w:eastAsia="Arial" w:hAnsi="Arial" w:cs="Arial"/>
                <w:sz w:val="22"/>
                <w:szCs w:val="22"/>
              </w:rPr>
              <w:t>6</w:t>
            </w:r>
          </w:p>
        </w:tc>
      </w:tr>
      <w:tr w:rsidR="001B44F9">
        <w:trPr>
          <w:cnfStyle w:val="000000010000" w:firstRow="0" w:lastRow="0" w:firstColumn="0" w:lastColumn="0" w:oddVBand="0" w:evenVBand="0" w:oddHBand="0" w:evenHBand="1" w:firstRowFirstColumn="0" w:firstRowLastColumn="0" w:lastRowFirstColumn="0" w:lastRowLastColumn="0"/>
        </w:trPr>
        <w:tc>
          <w:tcPr>
            <w:tcW w:w="8120" w:type="dxa"/>
          </w:tcPr>
          <w:p w:rsidR="001B44F9" w:rsidRDefault="00AC62F7" w:rsidP="001B44F9">
            <w:pPr>
              <w:spacing w:before="120" w:after="120"/>
              <w:jc w:val="both"/>
              <w:rPr>
                <w:rFonts w:ascii="Arial" w:eastAsia="Arial" w:hAnsi="Arial" w:cs="Arial"/>
                <w:sz w:val="22"/>
                <w:szCs w:val="22"/>
              </w:rPr>
            </w:pPr>
            <w:r>
              <w:rPr>
                <w:rFonts w:ascii="Arial" w:eastAsia="Arial" w:hAnsi="Arial" w:cs="Arial"/>
                <w:sz w:val="22"/>
                <w:szCs w:val="22"/>
              </w:rPr>
              <w:t>5</w:t>
            </w:r>
            <w:r w:rsidR="001B44F9">
              <w:rPr>
                <w:rFonts w:ascii="Arial" w:eastAsia="Arial" w:hAnsi="Arial" w:cs="Arial"/>
                <w:sz w:val="22"/>
                <w:szCs w:val="22"/>
              </w:rPr>
              <w:t>. Minimální počet partnerů zapojených do činnosti každého centra bez nároku na finanční podporu z veřejných zdrojů</w:t>
            </w:r>
          </w:p>
        </w:tc>
        <w:tc>
          <w:tcPr>
            <w:tcW w:w="1470" w:type="dxa"/>
          </w:tcPr>
          <w:p w:rsidR="001B44F9" w:rsidRDefault="001B44F9">
            <w:pPr>
              <w:spacing w:before="120" w:after="120"/>
              <w:jc w:val="both"/>
              <w:rPr>
                <w:rFonts w:ascii="Arial" w:eastAsia="Arial" w:hAnsi="Arial" w:cs="Arial"/>
                <w:sz w:val="22"/>
                <w:szCs w:val="22"/>
              </w:rPr>
            </w:pPr>
            <w:r>
              <w:rPr>
                <w:rFonts w:ascii="Arial" w:eastAsia="Arial" w:hAnsi="Arial" w:cs="Arial"/>
                <w:sz w:val="22"/>
                <w:szCs w:val="22"/>
              </w:rPr>
              <w:t>3</w:t>
            </w:r>
          </w:p>
        </w:tc>
      </w:tr>
      <w:tr w:rsidR="009C04DF">
        <w:trPr>
          <w:cnfStyle w:val="000000100000" w:firstRow="0" w:lastRow="0" w:firstColumn="0" w:lastColumn="0" w:oddVBand="0" w:evenVBand="0" w:oddHBand="1" w:evenHBand="0" w:firstRowFirstColumn="0" w:firstRowLastColumn="0" w:lastRowFirstColumn="0" w:lastRowLastColumn="0"/>
        </w:trPr>
        <w:tc>
          <w:tcPr>
            <w:tcW w:w="8120" w:type="dxa"/>
          </w:tcPr>
          <w:p w:rsidR="009C04DF" w:rsidRDefault="00AC62F7">
            <w:pPr>
              <w:spacing w:before="120" w:after="120"/>
              <w:contextualSpacing w:val="0"/>
              <w:jc w:val="both"/>
              <w:rPr>
                <w:rFonts w:ascii="Arial" w:eastAsia="Arial" w:hAnsi="Arial" w:cs="Arial"/>
                <w:sz w:val="22"/>
                <w:szCs w:val="22"/>
              </w:rPr>
            </w:pPr>
            <w:r>
              <w:rPr>
                <w:rFonts w:ascii="Arial" w:eastAsia="Arial" w:hAnsi="Arial" w:cs="Arial"/>
                <w:sz w:val="22"/>
                <w:szCs w:val="22"/>
              </w:rPr>
              <w:t>6</w:t>
            </w:r>
            <w:r w:rsidR="00C81E56">
              <w:rPr>
                <w:rFonts w:ascii="Arial" w:eastAsia="Arial" w:hAnsi="Arial" w:cs="Arial"/>
                <w:sz w:val="22"/>
                <w:szCs w:val="22"/>
              </w:rPr>
              <w:t>. Minimální počet dosažených výstupů</w:t>
            </w:r>
          </w:p>
        </w:tc>
        <w:tc>
          <w:tcPr>
            <w:tcW w:w="1470" w:type="dxa"/>
          </w:tcPr>
          <w:p w:rsidR="009C04DF" w:rsidRDefault="00E42255">
            <w:pPr>
              <w:spacing w:before="120" w:after="120"/>
              <w:contextualSpacing w:val="0"/>
              <w:jc w:val="both"/>
              <w:rPr>
                <w:rFonts w:ascii="Arial" w:eastAsia="Arial" w:hAnsi="Arial" w:cs="Arial"/>
                <w:sz w:val="22"/>
                <w:szCs w:val="22"/>
              </w:rPr>
            </w:pPr>
            <w:r>
              <w:rPr>
                <w:rFonts w:ascii="Arial" w:eastAsia="Arial" w:hAnsi="Arial" w:cs="Arial"/>
                <w:sz w:val="22"/>
                <w:szCs w:val="22"/>
              </w:rPr>
              <w:t>1</w:t>
            </w:r>
            <w:r w:rsidR="00C81E56">
              <w:rPr>
                <w:rFonts w:ascii="Arial" w:eastAsia="Arial" w:hAnsi="Arial" w:cs="Arial"/>
                <w:sz w:val="22"/>
                <w:szCs w:val="22"/>
              </w:rPr>
              <w:t>00</w:t>
            </w:r>
          </w:p>
        </w:tc>
      </w:tr>
      <w:tr w:rsidR="009C04DF">
        <w:trPr>
          <w:cnfStyle w:val="000000010000" w:firstRow="0" w:lastRow="0" w:firstColumn="0" w:lastColumn="0" w:oddVBand="0" w:evenVBand="0" w:oddHBand="0" w:evenHBand="1" w:firstRowFirstColumn="0" w:firstRowLastColumn="0" w:lastRowFirstColumn="0" w:lastRowLastColumn="0"/>
        </w:trPr>
        <w:tc>
          <w:tcPr>
            <w:tcW w:w="8120" w:type="dxa"/>
          </w:tcPr>
          <w:p w:rsidR="009C04DF" w:rsidRDefault="00AC62F7">
            <w:pPr>
              <w:spacing w:before="120" w:after="120"/>
              <w:contextualSpacing w:val="0"/>
              <w:jc w:val="both"/>
              <w:rPr>
                <w:rFonts w:ascii="Arial" w:eastAsia="Arial" w:hAnsi="Arial" w:cs="Arial"/>
                <w:sz w:val="22"/>
                <w:szCs w:val="22"/>
              </w:rPr>
            </w:pPr>
            <w:r>
              <w:rPr>
                <w:rFonts w:ascii="Arial" w:eastAsia="Arial" w:hAnsi="Arial" w:cs="Arial"/>
                <w:sz w:val="22"/>
                <w:szCs w:val="22"/>
              </w:rPr>
              <w:t>7</w:t>
            </w:r>
            <w:r w:rsidR="00C81E56">
              <w:rPr>
                <w:rFonts w:ascii="Arial" w:eastAsia="Arial" w:hAnsi="Arial" w:cs="Arial"/>
                <w:sz w:val="22"/>
                <w:szCs w:val="22"/>
              </w:rPr>
              <w:t>. Minimální počet aplikovaných výstupů</w:t>
            </w:r>
          </w:p>
        </w:tc>
        <w:tc>
          <w:tcPr>
            <w:tcW w:w="1470" w:type="dxa"/>
          </w:tcPr>
          <w:p w:rsidR="009C04DF" w:rsidRDefault="00E42255">
            <w:pPr>
              <w:spacing w:before="120" w:after="120"/>
              <w:contextualSpacing w:val="0"/>
              <w:jc w:val="both"/>
              <w:rPr>
                <w:rFonts w:ascii="Arial" w:eastAsia="Arial" w:hAnsi="Arial" w:cs="Arial"/>
                <w:sz w:val="22"/>
                <w:szCs w:val="22"/>
              </w:rPr>
            </w:pPr>
            <w:r>
              <w:rPr>
                <w:rFonts w:ascii="Arial" w:eastAsia="Arial" w:hAnsi="Arial" w:cs="Arial"/>
                <w:sz w:val="22"/>
                <w:szCs w:val="22"/>
              </w:rPr>
              <w:t>80</w:t>
            </w:r>
          </w:p>
        </w:tc>
      </w:tr>
    </w:tbl>
    <w:p w:rsidR="003705C7" w:rsidRDefault="001B44F9" w:rsidP="00BB3E53">
      <w:pPr>
        <w:pStyle w:val="Nadpis1"/>
        <w:ind w:left="432" w:firstLine="0"/>
        <w:rPr>
          <w:rFonts w:ascii="Arial" w:eastAsia="Arial" w:hAnsi="Arial" w:cs="Arial"/>
        </w:rPr>
      </w:pPr>
      <w:r>
        <w:rPr>
          <w:rFonts w:ascii="Arial" w:eastAsia="Arial" w:hAnsi="Arial" w:cs="Arial"/>
        </w:rPr>
        <w:t xml:space="preserve">Nejvyšší povolená </w:t>
      </w:r>
      <w:r w:rsidR="003705C7">
        <w:rPr>
          <w:rFonts w:ascii="Arial" w:eastAsia="Arial" w:hAnsi="Arial" w:cs="Arial"/>
        </w:rPr>
        <w:t xml:space="preserve">míra </w:t>
      </w:r>
      <w:r w:rsidR="003705C7" w:rsidRPr="00363E99">
        <w:rPr>
          <w:rFonts w:ascii="Arial" w:eastAsia="Arial" w:hAnsi="Arial" w:cs="Arial"/>
        </w:rPr>
        <w:t>podpory</w:t>
      </w:r>
      <w:r w:rsidR="00363E99" w:rsidRPr="00363E99">
        <w:rPr>
          <w:rFonts w:ascii="Arial" w:eastAsia="Arial" w:hAnsi="Arial" w:cs="Arial"/>
        </w:rPr>
        <w:t xml:space="preserve"> </w:t>
      </w:r>
      <w:r w:rsidR="00363E99">
        <w:rPr>
          <w:rFonts w:ascii="Arial" w:eastAsia="Arial" w:hAnsi="Arial" w:cs="Arial"/>
        </w:rPr>
        <w:t>(</w:t>
      </w:r>
      <w:r w:rsidR="00363E99">
        <w:rPr>
          <w:rFonts w:ascii="Arial" w:hAnsi="Arial" w:cs="Arial"/>
        </w:rPr>
        <w:t>ve smyslu</w:t>
      </w:r>
      <w:r w:rsidR="00363E99" w:rsidRPr="00BB3E53">
        <w:rPr>
          <w:rFonts w:ascii="Arial" w:hAnsi="Arial" w:cs="Arial"/>
        </w:rPr>
        <w:t xml:space="preserve"> § 5 odst. 2 písm. c) zákona</w:t>
      </w:r>
      <w:r w:rsidR="00363E99">
        <w:rPr>
          <w:rFonts w:ascii="Arial" w:hAnsi="Arial" w:cs="Arial"/>
        </w:rPr>
        <w:t>)</w:t>
      </w:r>
      <w:r w:rsidR="00363E99" w:rsidRPr="00BB3E53">
        <w:rPr>
          <w:rFonts w:ascii="Arial" w:hAnsi="Arial" w:cs="Arial"/>
        </w:rPr>
        <w:t xml:space="preserve"> </w:t>
      </w:r>
      <w:r>
        <w:rPr>
          <w:rFonts w:ascii="Arial" w:hAnsi="Arial" w:cs="Arial"/>
        </w:rPr>
        <w:t>na</w:t>
      </w:r>
      <w:r w:rsidR="003705C7">
        <w:rPr>
          <w:rFonts w:ascii="Arial" w:eastAsia="Arial" w:hAnsi="Arial" w:cs="Arial"/>
        </w:rPr>
        <w:t xml:space="preserve"> projekt </w:t>
      </w:r>
      <w:r w:rsidR="005276A3">
        <w:rPr>
          <w:rFonts w:ascii="Arial" w:eastAsia="Arial" w:hAnsi="Arial" w:cs="Arial"/>
        </w:rPr>
        <w:t>je </w:t>
      </w:r>
      <w:r w:rsidR="003705C7">
        <w:rPr>
          <w:rFonts w:ascii="Arial" w:eastAsia="Arial" w:hAnsi="Arial" w:cs="Arial"/>
        </w:rPr>
        <w:t>90</w:t>
      </w:r>
      <w:r w:rsidR="005276A3">
        <w:rPr>
          <w:rFonts w:ascii="Arial" w:eastAsia="Arial" w:hAnsi="Arial" w:cs="Arial"/>
        </w:rPr>
        <w:t> </w:t>
      </w:r>
      <w:r w:rsidR="003705C7">
        <w:rPr>
          <w:rFonts w:ascii="Arial" w:eastAsia="Arial" w:hAnsi="Arial" w:cs="Arial"/>
        </w:rPr>
        <w:t xml:space="preserve">%.   </w:t>
      </w:r>
    </w:p>
    <w:p w:rsidR="009C04DF" w:rsidRDefault="00C81E56" w:rsidP="00BB3E53">
      <w:pPr>
        <w:pStyle w:val="Nadpis1"/>
        <w:numPr>
          <w:ilvl w:val="0"/>
          <w:numId w:val="2"/>
        </w:numPr>
        <w:rPr>
          <w:rFonts w:ascii="Arial" w:eastAsia="Arial" w:hAnsi="Arial" w:cs="Arial"/>
        </w:rPr>
      </w:pPr>
      <w:r>
        <w:rPr>
          <w:rFonts w:ascii="Arial" w:eastAsia="Arial" w:hAnsi="Arial" w:cs="Arial"/>
        </w:rPr>
        <w:t>OČEKÁVANÉ VÝSLEDKY A PŘÍNOSY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V tomto programu budou podporovány zejména projekty, u kterých se odůvodněně předpokládá dosažení využitelných výstupů, taktéž publikačních, jejichž aplikace přispěje k plnění stanovených cílů programu a k pozitivním společenským (socio-ekonomickým) </w:t>
      </w:r>
      <w:r>
        <w:rPr>
          <w:rFonts w:ascii="Arial" w:eastAsia="Arial" w:hAnsi="Arial" w:cs="Arial"/>
          <w:sz w:val="22"/>
          <w:szCs w:val="22"/>
        </w:rPr>
        <w:lastRenderedPageBreak/>
        <w:t xml:space="preserve">dopadům. Program umožní dosažení následujících výstupů ve formě výsledků dle Metodiky a Rejstříku informací o výsledcích (RIV) platné v době jejich uplatňování: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 – patent;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G – technicky realizované výsledky – prototyp, funkční vzorek;</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Z – poloprovoz, ověřená technologie;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R – software;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F – průmyslový a užitný vzor;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H – výsledky promítnuté do právních předpisů a norem a výsledky promítnuté do směrnic a předpisů nelegislativní povahy závazných v rámci kompetence příslušného poskytovatele;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 – certifikované metodiky, postupy a specializované mapy s odborným obsahem;</w:t>
      </w:r>
    </w:p>
    <w:p w:rsidR="009C04DF" w:rsidRDefault="00C81E56">
      <w:pPr>
        <w:spacing w:before="120" w:after="120"/>
        <w:jc w:val="both"/>
        <w:rPr>
          <w:rFonts w:ascii="Arial" w:eastAsia="Arial" w:hAnsi="Arial" w:cs="Arial"/>
          <w:i/>
          <w:sz w:val="22"/>
          <w:szCs w:val="22"/>
        </w:rPr>
      </w:pPr>
      <w:r>
        <w:rPr>
          <w:rFonts w:ascii="Arial" w:eastAsia="Arial" w:hAnsi="Arial" w:cs="Arial"/>
          <w:sz w:val="22"/>
          <w:szCs w:val="22"/>
        </w:rPr>
        <w:t xml:space="preserve">O </w:t>
      </w:r>
      <w:r w:rsidR="00363D10">
        <w:rPr>
          <w:rFonts w:ascii="Arial" w:eastAsia="Arial" w:hAnsi="Arial" w:cs="Arial"/>
          <w:sz w:val="22"/>
          <w:szCs w:val="22"/>
        </w:rPr>
        <w:t>–</w:t>
      </w:r>
      <w:r>
        <w:rPr>
          <w:rFonts w:ascii="Arial" w:eastAsia="Arial" w:hAnsi="Arial" w:cs="Arial"/>
          <w:sz w:val="22"/>
          <w:szCs w:val="22"/>
        </w:rPr>
        <w:t xml:space="preserve"> ostatní.</w:t>
      </w:r>
    </w:p>
    <w:p w:rsidR="009C04DF" w:rsidRDefault="00C81E56">
      <w:pPr>
        <w:spacing w:before="240" w:after="120"/>
        <w:jc w:val="both"/>
        <w:rPr>
          <w:rFonts w:ascii="Arial" w:eastAsia="Arial" w:hAnsi="Arial" w:cs="Arial"/>
          <w:sz w:val="22"/>
          <w:szCs w:val="22"/>
        </w:rPr>
      </w:pPr>
      <w:r>
        <w:rPr>
          <w:rFonts w:ascii="Arial" w:eastAsia="Arial" w:hAnsi="Arial" w:cs="Arial"/>
          <w:sz w:val="22"/>
          <w:szCs w:val="22"/>
        </w:rPr>
        <w:t>Vzhledem ke specifickému zaměření programu však dále existuje celá řada poznatků a dovedností v souladu s §2 odst 2, písmeno k) zákona o podpoře výzkumu, vývoje a inovací, které se očekávají jako výsledky veřejných soutěží. Z tohoto důvodu bude program hodnocen nejen na základě výstupů ve formě výsledků dle aktuálně platné Metodiky hodnocení výsledků výzkumných organizací a hodnocení výsledků ukončených programů, ale také podle dosažených poznatků a dovedností, které budou specifikovány v rámci přípravy projektu tohoto typu výzkumu.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Mezi očekávané přínosy programu patří hlavně zvýšení kvality a počtu výsledků výzkumu a vývoje, které budou aplikovány v praxi v podobě inovací výrobků, postupů, procesů nebo služeb. </w:t>
      </w:r>
    </w:p>
    <w:p w:rsidR="00B00249" w:rsidRDefault="00C81E56">
      <w:pPr>
        <w:spacing w:before="120" w:after="120"/>
        <w:jc w:val="both"/>
        <w:rPr>
          <w:rFonts w:ascii="Arial" w:eastAsia="Arial" w:hAnsi="Arial" w:cs="Arial"/>
          <w:sz w:val="22"/>
          <w:szCs w:val="22"/>
        </w:rPr>
      </w:pPr>
      <w:r>
        <w:rPr>
          <w:rFonts w:ascii="Arial" w:eastAsia="Arial" w:hAnsi="Arial" w:cs="Arial"/>
          <w:sz w:val="22"/>
          <w:szCs w:val="22"/>
        </w:rPr>
        <w:t>Dalším předpokládaným přínosem programu je na straně výzkumných organizací získání zkušenosti a schopnosti orientovat výzkum (respektive strategickou výzkumnou agendu) směrem k potřebám aplikační sféry. Na druhé straně by program měl přispět ke zvýšené schopnosti podniků pracovat s výsledky výzkumu financovaného z veřejných prostředků (realizovaného výzkumnými organizacemi). Tyto dva efekty by pak v konečném výsledky měly přispět ke zvýšené nezávislosti budovaných center na prostředcích z veřejných prostředků.</w:t>
      </w:r>
      <w:r w:rsidR="004774F6">
        <w:rPr>
          <w:rFonts w:ascii="Arial" w:eastAsia="Arial" w:hAnsi="Arial" w:cs="Arial"/>
          <w:sz w:val="22"/>
          <w:szCs w:val="22"/>
        </w:rPr>
        <w:t xml:space="preserve"> </w:t>
      </w:r>
      <w:r w:rsidR="00B00249">
        <w:rPr>
          <w:rFonts w:ascii="Arial" w:eastAsia="Arial" w:hAnsi="Arial" w:cs="Arial"/>
          <w:sz w:val="22"/>
          <w:szCs w:val="22"/>
        </w:rPr>
        <w:t xml:space="preserve">Součástí </w:t>
      </w:r>
      <w:r w:rsidR="004774F6">
        <w:rPr>
          <w:rFonts w:ascii="Arial" w:eastAsia="Arial" w:hAnsi="Arial" w:cs="Arial"/>
          <w:sz w:val="22"/>
          <w:szCs w:val="22"/>
        </w:rPr>
        <w:t>výstupů projektu</w:t>
      </w:r>
      <w:r w:rsidR="00B00249">
        <w:rPr>
          <w:rFonts w:ascii="Arial" w:eastAsia="Arial" w:hAnsi="Arial" w:cs="Arial"/>
          <w:sz w:val="22"/>
          <w:szCs w:val="22"/>
        </w:rPr>
        <w:t xml:space="preserve"> </w:t>
      </w:r>
      <w:r w:rsidR="004774F6">
        <w:rPr>
          <w:rFonts w:ascii="Arial" w:eastAsia="Arial" w:hAnsi="Arial" w:cs="Arial"/>
          <w:sz w:val="22"/>
          <w:szCs w:val="22"/>
        </w:rPr>
        <w:t xml:space="preserve">tak </w:t>
      </w:r>
      <w:r w:rsidR="00B00249">
        <w:rPr>
          <w:rFonts w:ascii="Arial" w:eastAsia="Arial" w:hAnsi="Arial" w:cs="Arial"/>
          <w:sz w:val="22"/>
          <w:szCs w:val="22"/>
        </w:rPr>
        <w:t>musí být i plán</w:t>
      </w:r>
      <w:r w:rsidR="003705C7">
        <w:rPr>
          <w:rFonts w:ascii="Arial" w:eastAsia="Arial" w:hAnsi="Arial" w:cs="Arial"/>
          <w:sz w:val="22"/>
          <w:szCs w:val="22"/>
        </w:rPr>
        <w:t xml:space="preserve"> dlouhodobé</w:t>
      </w:r>
      <w:r w:rsidR="00B00249">
        <w:rPr>
          <w:rFonts w:ascii="Arial" w:eastAsia="Arial" w:hAnsi="Arial" w:cs="Arial"/>
          <w:sz w:val="22"/>
          <w:szCs w:val="22"/>
        </w:rPr>
        <w:t xml:space="preserve"> finanční udržitelnosti centra.</w:t>
      </w:r>
    </w:p>
    <w:p w:rsidR="009C04DF" w:rsidRDefault="00C81E56">
      <w:pPr>
        <w:spacing w:before="240" w:after="120"/>
        <w:jc w:val="both"/>
        <w:rPr>
          <w:rFonts w:ascii="Arial" w:eastAsia="Arial" w:hAnsi="Arial" w:cs="Arial"/>
          <w:sz w:val="22"/>
          <w:szCs w:val="22"/>
        </w:rPr>
      </w:pPr>
      <w:r>
        <w:rPr>
          <w:rFonts w:ascii="Arial" w:eastAsia="Arial" w:hAnsi="Arial" w:cs="Arial"/>
          <w:sz w:val="22"/>
          <w:szCs w:val="22"/>
        </w:rPr>
        <w:t>U spolupracujících výzkumných organizací se přínosy programu projeví například ve zvýšení počtu jejich výsledků aplikovaných v praxi, v počtu komercializovaných patentů a nárůstu jejich komerčního potenciálu. Jako sekundární efekt lze považovat posílení efektivního transferu know-how a technologií do praxe.</w:t>
      </w:r>
    </w:p>
    <w:p w:rsidR="009C04DF" w:rsidRDefault="00C81E56">
      <w:pPr>
        <w:pStyle w:val="Nadpis1"/>
        <w:numPr>
          <w:ilvl w:val="0"/>
          <w:numId w:val="2"/>
        </w:numPr>
        <w:ind w:hanging="432"/>
        <w:rPr>
          <w:rFonts w:ascii="Arial" w:eastAsia="Arial" w:hAnsi="Arial" w:cs="Arial"/>
        </w:rPr>
      </w:pPr>
      <w:r>
        <w:rPr>
          <w:rFonts w:ascii="Arial" w:eastAsia="Arial" w:hAnsi="Arial" w:cs="Arial"/>
        </w:rPr>
        <w:t>UCHAZEČI A PROKÁZÁNÍ JEJICH ZPŮSOBILOSTI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Uchazečem, respektive příjemcem podpory na projekt podle zákona o podpoře výzkumu, experimentálního vývoje a inovací, Rámce a Nařízení mohou být:</w:t>
      </w:r>
    </w:p>
    <w:p w:rsidR="008606C3" w:rsidRDefault="00C81E56">
      <w:pPr>
        <w:spacing w:before="120" w:after="120"/>
        <w:jc w:val="both"/>
        <w:rPr>
          <w:rFonts w:ascii="Arial" w:eastAsia="Arial" w:hAnsi="Arial" w:cs="Arial"/>
          <w:sz w:val="22"/>
          <w:szCs w:val="22"/>
        </w:rPr>
      </w:pPr>
      <w:r>
        <w:rPr>
          <w:rFonts w:ascii="Arial" w:eastAsia="Arial" w:hAnsi="Arial" w:cs="Arial"/>
          <w:b/>
          <w:sz w:val="22"/>
          <w:szCs w:val="22"/>
        </w:rPr>
        <w:t>Organizace pro výzkum a šíření znalostí (dále jen „výzkumné organizace“)</w:t>
      </w:r>
      <w:r>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a které řeší projekt samostatně nebo ve spolupráci s dalšími účastníky.</w:t>
      </w:r>
    </w:p>
    <w:p w:rsidR="009C04DF" w:rsidRDefault="00552ABF">
      <w:pPr>
        <w:spacing w:before="120" w:after="120"/>
        <w:jc w:val="both"/>
        <w:rPr>
          <w:rFonts w:ascii="Arial" w:eastAsia="Arial" w:hAnsi="Arial" w:cs="Arial"/>
          <w:sz w:val="22"/>
          <w:szCs w:val="22"/>
        </w:rPr>
      </w:pPr>
      <w:r>
        <w:rPr>
          <w:rFonts w:ascii="Arial" w:eastAsia="Arial" w:hAnsi="Arial" w:cs="Arial"/>
          <w:b/>
          <w:sz w:val="22"/>
          <w:szCs w:val="22"/>
        </w:rPr>
        <w:t xml:space="preserve">Další fyzické osoby a právnické osoby </w:t>
      </w:r>
      <w:r>
        <w:rPr>
          <w:rFonts w:ascii="Arial" w:eastAsia="Arial" w:hAnsi="Arial" w:cs="Arial"/>
          <w:sz w:val="22"/>
          <w:szCs w:val="22"/>
        </w:rPr>
        <w:t>veřejného i soukromého práva bez ohledu na právní formu či způsob financování, které budou vykonávat činnosti, na něž je podpora poskytována mimo režim veřejné podpory, tj. nebude se jednat o podniky.</w:t>
      </w:r>
    </w:p>
    <w:p w:rsidR="000E5AF9" w:rsidRDefault="000E5AF9">
      <w:pPr>
        <w:spacing w:before="120" w:after="120"/>
        <w:jc w:val="both"/>
        <w:rPr>
          <w:rFonts w:ascii="Arial" w:eastAsia="Arial" w:hAnsi="Arial" w:cs="Arial"/>
          <w:sz w:val="22"/>
          <w:szCs w:val="22"/>
        </w:rPr>
      </w:pPr>
      <w:r>
        <w:rPr>
          <w:rFonts w:ascii="Arial" w:eastAsia="Arial" w:hAnsi="Arial" w:cs="Arial"/>
          <w:sz w:val="22"/>
          <w:szCs w:val="22"/>
        </w:rPr>
        <w:t>Dále mohou být partnery projektu, tj. účastníky projektu bez podpor</w:t>
      </w:r>
      <w:r w:rsidR="0095286C">
        <w:rPr>
          <w:rFonts w:ascii="Arial" w:eastAsia="Arial" w:hAnsi="Arial" w:cs="Arial"/>
          <w:sz w:val="22"/>
          <w:szCs w:val="22"/>
        </w:rPr>
        <w:t>y</w:t>
      </w:r>
      <w:r>
        <w:rPr>
          <w:rFonts w:ascii="Arial" w:eastAsia="Arial" w:hAnsi="Arial" w:cs="Arial"/>
          <w:sz w:val="22"/>
          <w:szCs w:val="22"/>
        </w:rPr>
        <w:t xml:space="preserve"> ze státního rozpočtu:</w:t>
      </w:r>
    </w:p>
    <w:p w:rsidR="000E5AF9" w:rsidRDefault="000E5AF9" w:rsidP="000E5AF9">
      <w:pPr>
        <w:spacing w:before="120" w:after="120"/>
        <w:jc w:val="both"/>
        <w:rPr>
          <w:rFonts w:ascii="Arial" w:eastAsia="Arial" w:hAnsi="Arial" w:cs="Arial"/>
          <w:sz w:val="22"/>
          <w:szCs w:val="22"/>
        </w:rPr>
      </w:pPr>
      <w:r>
        <w:rPr>
          <w:rFonts w:ascii="Arial" w:eastAsia="Arial" w:hAnsi="Arial" w:cs="Arial"/>
          <w:b/>
          <w:sz w:val="22"/>
          <w:szCs w:val="22"/>
        </w:rPr>
        <w:lastRenderedPageBreak/>
        <w:t>Podniky</w:t>
      </w:r>
      <w:r>
        <w:rPr>
          <w:rFonts w:ascii="Arial" w:eastAsia="Arial" w:hAnsi="Arial" w:cs="Arial"/>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Podporu na projekt realizovaný v Programu mohou získat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Okruh uchazečů může oproti programu zúžit zadávací dokumentace k veřejné soutěži.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Z programu bude podporován vznik a činnost center výzkumu, vývoje a inovací za spolupráce výzkumných organizací a podniků. Bližší specifikace formy a podmínek zapojení a spolupráce jednotlivých subjektů bude upřesněna v zadávací dokumentaci k veřejné soutěži.</w:t>
      </w:r>
    </w:p>
    <w:p w:rsidR="009C04DF" w:rsidRDefault="00C81E56">
      <w:pPr>
        <w:pStyle w:val="Nadpis1"/>
        <w:numPr>
          <w:ilvl w:val="0"/>
          <w:numId w:val="2"/>
        </w:numPr>
        <w:ind w:hanging="432"/>
        <w:rPr>
          <w:rFonts w:ascii="Arial" w:eastAsia="Arial" w:hAnsi="Arial" w:cs="Arial"/>
        </w:rPr>
      </w:pPr>
      <w:r>
        <w:rPr>
          <w:rFonts w:ascii="Arial" w:eastAsia="Arial" w:hAnsi="Arial" w:cs="Arial"/>
        </w:rPr>
        <w:t>VÝDAJE NA PROGRAM</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Celkové výdaje na program jsou na období trvání programu stanoveny v souladu se zkušenostmi s realizací programu Centra kompetence, s předpokládaným postupným vyhlašováním jednotlivých veřejných soutěží ve výzkumu, vývoji a inovacích a postupem přípravy a vzniku jednotlivých center.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Celkové výdaje na jednotlivé projekty a podniky jsou uvažovány dle  čl. 4 Nařízení Komise (EU) č. 651/2014 ze dne 17. června 2014, kterým se v souladu s články 107 a 108 Smlouvy prohlašují určité kategorie podpory za slučitelné s vnitřním trhem, tzv. obecného nařízení o blokových výjimkách.</w:t>
      </w:r>
    </w:p>
    <w:p w:rsidR="009C04DF" w:rsidRDefault="00C81E56">
      <w:pPr>
        <w:keepNext/>
        <w:tabs>
          <w:tab w:val="left" w:pos="360"/>
        </w:tabs>
        <w:spacing w:before="120" w:after="120"/>
        <w:jc w:val="both"/>
        <w:rPr>
          <w:rFonts w:ascii="Arial" w:eastAsia="Arial" w:hAnsi="Arial" w:cs="Arial"/>
          <w:b/>
          <w:sz w:val="22"/>
          <w:szCs w:val="22"/>
        </w:rPr>
      </w:pPr>
      <w:r>
        <w:rPr>
          <w:rFonts w:ascii="Arial" w:eastAsia="Arial" w:hAnsi="Arial" w:cs="Arial"/>
          <w:b/>
          <w:sz w:val="22"/>
          <w:szCs w:val="22"/>
        </w:rPr>
        <w:t>Tabulka č. 12. 1: Rozpočet programu [</w:t>
      </w:r>
      <w:r w:rsidR="00ED4D19">
        <w:rPr>
          <w:rFonts w:ascii="Arial" w:eastAsia="Arial" w:hAnsi="Arial" w:cs="Arial"/>
          <w:b/>
          <w:sz w:val="22"/>
          <w:szCs w:val="22"/>
        </w:rPr>
        <w:t>v</w:t>
      </w:r>
      <w:r>
        <w:rPr>
          <w:rFonts w:ascii="Arial" w:eastAsia="Arial" w:hAnsi="Arial" w:cs="Arial"/>
          <w:b/>
          <w:sz w:val="22"/>
          <w:szCs w:val="22"/>
        </w:rPr>
        <w:t xml:space="preserve"> mil. Kč]</w:t>
      </w:r>
    </w:p>
    <w:tbl>
      <w:tblPr>
        <w:tblStyle w:val="a0"/>
        <w:tblW w:w="4705"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020"/>
        <w:gridCol w:w="567"/>
        <w:gridCol w:w="567"/>
        <w:gridCol w:w="567"/>
        <w:gridCol w:w="567"/>
        <w:gridCol w:w="567"/>
        <w:gridCol w:w="850"/>
      </w:tblGrid>
      <w:tr w:rsidR="00E42255" w:rsidTr="00C02672">
        <w:trPr>
          <w:cnfStyle w:val="000000100000" w:firstRow="0" w:lastRow="0" w:firstColumn="0" w:lastColumn="0" w:oddVBand="0" w:evenVBand="0" w:oddHBand="1" w:evenHBand="0" w:firstRowFirstColumn="0" w:firstRowLastColumn="0" w:lastRowFirstColumn="0" w:lastRowLastColumn="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rPr>
                <w:rFonts w:ascii="Arial" w:eastAsia="Arial" w:hAnsi="Arial" w:cs="Arial"/>
                <w:sz w:val="20"/>
                <w:szCs w:val="20"/>
              </w:rPr>
            </w:pPr>
            <w:r>
              <w:rPr>
                <w:rFonts w:ascii="Arial" w:eastAsia="Arial" w:hAnsi="Arial" w:cs="Arial"/>
                <w:b/>
                <w:sz w:val="20"/>
                <w:szCs w:val="20"/>
              </w:rPr>
              <w:t>Rok</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2018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2019</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2021</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2022</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b/>
                <w:sz w:val="20"/>
                <w:szCs w:val="20"/>
              </w:rPr>
              <w:t>Celkem</w:t>
            </w:r>
          </w:p>
        </w:tc>
      </w:tr>
      <w:tr w:rsidR="00E42255" w:rsidTr="00C02672">
        <w:trPr>
          <w:cnfStyle w:val="000000010000" w:firstRow="0" w:lastRow="0" w:firstColumn="0" w:lastColumn="0" w:oddVBand="0" w:evenVBand="0" w:oddHBand="0" w:evenHBand="1"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rPr>
                <w:rFonts w:ascii="Arial" w:eastAsia="Arial" w:hAnsi="Arial" w:cs="Arial"/>
                <w:sz w:val="20"/>
                <w:szCs w:val="20"/>
              </w:rPr>
            </w:pPr>
            <w:r>
              <w:rPr>
                <w:rFonts w:ascii="Arial" w:eastAsia="Arial" w:hAnsi="Arial" w:cs="Arial"/>
                <w:sz w:val="20"/>
                <w:szCs w:val="20"/>
              </w:rPr>
              <w:t>Celkové výdaje</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125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287,5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550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Pr="008606C3" w:rsidRDefault="003705C7" w:rsidP="00F92455">
            <w:pPr>
              <w:keepNext/>
              <w:spacing w:before="120" w:after="120"/>
              <w:contextualSpacing w:val="0"/>
              <w:jc w:val="center"/>
              <w:rPr>
                <w:rFonts w:ascii="Arial" w:eastAsia="Arial" w:hAnsi="Arial" w:cs="Arial"/>
                <w:sz w:val="16"/>
                <w:szCs w:val="16"/>
              </w:rPr>
            </w:pPr>
            <w:r>
              <w:rPr>
                <w:rFonts w:ascii="Arial" w:eastAsia="Arial" w:hAnsi="Arial" w:cs="Arial"/>
                <w:sz w:val="16"/>
                <w:szCs w:val="16"/>
              </w:rPr>
              <w:t>7</w:t>
            </w:r>
            <w:r w:rsidR="00F92455">
              <w:rPr>
                <w:rFonts w:ascii="Arial" w:eastAsia="Arial" w:hAnsi="Arial" w:cs="Arial"/>
                <w:sz w:val="16"/>
                <w:szCs w:val="16"/>
              </w:rPr>
              <w:t>58,75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3705C7" w:rsidP="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5</w:t>
            </w:r>
            <w:r w:rsidR="00F92455">
              <w:rPr>
                <w:rFonts w:ascii="Arial" w:eastAsia="Arial" w:hAnsi="Arial" w:cs="Arial"/>
                <w:sz w:val="20"/>
                <w:szCs w:val="20"/>
              </w:rPr>
              <w:t>70</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F92455" w:rsidP="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2 291,25</w:t>
            </w:r>
          </w:p>
        </w:tc>
      </w:tr>
      <w:tr w:rsidR="00E42255" w:rsidTr="00C02672">
        <w:trPr>
          <w:cnfStyle w:val="000000100000" w:firstRow="0" w:lastRow="0" w:firstColumn="0" w:lastColumn="0" w:oddVBand="0" w:evenVBand="0" w:oddHBand="1" w:evenHBand="0"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rPr>
                <w:rFonts w:ascii="Arial" w:eastAsia="Arial" w:hAnsi="Arial" w:cs="Arial"/>
                <w:sz w:val="20"/>
                <w:szCs w:val="20"/>
              </w:rPr>
            </w:pPr>
            <w:r>
              <w:rPr>
                <w:rFonts w:ascii="Arial" w:eastAsia="Arial" w:hAnsi="Arial" w:cs="Arial"/>
                <w:sz w:val="20"/>
                <w:szCs w:val="20"/>
              </w:rPr>
              <w:t>Výdaje státního rozpočtu</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100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230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440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3705C7"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607</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3705C7"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456</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F92455">
            <w:pPr>
              <w:keepNext/>
              <w:spacing w:before="120" w:after="120"/>
              <w:contextualSpacing w:val="0"/>
              <w:jc w:val="center"/>
              <w:rPr>
                <w:rFonts w:ascii="Arial" w:eastAsia="Arial" w:hAnsi="Arial" w:cs="Arial"/>
                <w:sz w:val="20"/>
                <w:szCs w:val="20"/>
              </w:rPr>
            </w:pPr>
            <w:r>
              <w:rPr>
                <w:rFonts w:ascii="Arial" w:eastAsia="Arial" w:hAnsi="Arial" w:cs="Arial"/>
                <w:sz w:val="20"/>
                <w:szCs w:val="20"/>
              </w:rPr>
              <w:t>1 833</w:t>
            </w:r>
          </w:p>
        </w:tc>
      </w:tr>
      <w:tr w:rsidR="00E42255" w:rsidTr="00C02672">
        <w:trPr>
          <w:cnfStyle w:val="000000010000" w:firstRow="0" w:lastRow="0" w:firstColumn="0" w:lastColumn="0" w:oddVBand="0" w:evenVBand="0" w:oddHBand="0" w:evenHBand="1"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rPr>
                <w:rFonts w:ascii="Arial" w:eastAsia="Arial" w:hAnsi="Arial" w:cs="Arial"/>
                <w:sz w:val="20"/>
                <w:szCs w:val="20"/>
              </w:rPr>
            </w:pPr>
            <w:r>
              <w:rPr>
                <w:rFonts w:ascii="Arial" w:eastAsia="Arial" w:hAnsi="Arial" w:cs="Arial"/>
                <w:sz w:val="20"/>
                <w:szCs w:val="20"/>
              </w:rPr>
              <w:t>Neveřejné zdroje</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25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57,5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pPr>
              <w:keepNext/>
              <w:spacing w:before="120" w:after="120"/>
              <w:contextualSpacing w:val="0"/>
              <w:jc w:val="center"/>
              <w:rPr>
                <w:rFonts w:ascii="Arial" w:eastAsia="Arial" w:hAnsi="Arial" w:cs="Arial"/>
                <w:sz w:val="20"/>
                <w:szCs w:val="20"/>
              </w:rPr>
            </w:pPr>
            <w:r>
              <w:rPr>
                <w:rFonts w:ascii="Arial" w:eastAsia="Arial" w:hAnsi="Arial" w:cs="Arial"/>
                <w:sz w:val="20"/>
                <w:szCs w:val="20"/>
              </w:rPr>
              <w:t>110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F92455" w:rsidP="00F92455">
            <w:pPr>
              <w:keepNext/>
              <w:spacing w:before="120" w:after="120"/>
              <w:contextualSpacing w:val="0"/>
              <w:jc w:val="center"/>
              <w:rPr>
                <w:rFonts w:ascii="Arial" w:eastAsia="Arial" w:hAnsi="Arial" w:cs="Arial"/>
                <w:sz w:val="20"/>
                <w:szCs w:val="20"/>
              </w:rPr>
            </w:pPr>
            <w:r>
              <w:rPr>
                <w:rFonts w:ascii="Arial" w:eastAsia="Arial" w:hAnsi="Arial" w:cs="Arial"/>
                <w:sz w:val="20"/>
                <w:szCs w:val="20"/>
              </w:rPr>
              <w:t>1</w:t>
            </w:r>
            <w:r w:rsidR="003705C7">
              <w:rPr>
                <w:rFonts w:ascii="Arial" w:eastAsia="Arial" w:hAnsi="Arial" w:cs="Arial"/>
                <w:sz w:val="20"/>
                <w:szCs w:val="20"/>
              </w:rPr>
              <w:t>5</w:t>
            </w:r>
            <w:r>
              <w:rPr>
                <w:rFonts w:ascii="Arial" w:eastAsia="Arial" w:hAnsi="Arial" w:cs="Arial"/>
                <w:sz w:val="20"/>
                <w:szCs w:val="20"/>
              </w:rPr>
              <w:t>1,75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F2011" w:rsidRDefault="004A1493" w:rsidP="00C02672">
            <w:pPr>
              <w:keepNext/>
              <w:spacing w:before="120" w:after="120"/>
              <w:contextualSpacing w:val="0"/>
              <w:rPr>
                <w:rFonts w:ascii="Arial" w:eastAsia="Arial" w:hAnsi="Arial" w:cs="Arial"/>
                <w:sz w:val="20"/>
                <w:szCs w:val="20"/>
              </w:rPr>
            </w:pPr>
            <w:r>
              <w:rPr>
                <w:rFonts w:ascii="Arial" w:eastAsia="Arial" w:hAnsi="Arial" w:cs="Arial"/>
                <w:sz w:val="20"/>
                <w:szCs w:val="20"/>
              </w:rPr>
              <w:t>1</w:t>
            </w:r>
            <w:r w:rsidR="003705C7">
              <w:rPr>
                <w:rFonts w:ascii="Arial" w:eastAsia="Arial" w:hAnsi="Arial" w:cs="Arial"/>
                <w:sz w:val="20"/>
                <w:szCs w:val="20"/>
              </w:rPr>
              <w:t>14</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F2011" w:rsidRDefault="00F92455" w:rsidP="00C02672">
            <w:pPr>
              <w:spacing w:before="120" w:after="120"/>
              <w:contextualSpacing w:val="0"/>
              <w:rPr>
                <w:rFonts w:ascii="Arial" w:eastAsia="Arial" w:hAnsi="Arial" w:cs="Arial"/>
                <w:sz w:val="20"/>
                <w:szCs w:val="20"/>
              </w:rPr>
            </w:pPr>
            <w:r>
              <w:rPr>
                <w:rFonts w:ascii="Arial" w:hAnsi="Arial" w:cs="Arial"/>
                <w:sz w:val="20"/>
                <w:szCs w:val="20"/>
              </w:rPr>
              <w:t>458,25</w:t>
            </w:r>
          </w:p>
        </w:tc>
      </w:tr>
    </w:tbl>
    <w:p w:rsidR="005F2011" w:rsidRDefault="005F2011" w:rsidP="00C02672">
      <w:pPr>
        <w:pStyle w:val="Nadpis1"/>
        <w:rPr>
          <w:rFonts w:ascii="Arial" w:eastAsia="Arial" w:hAnsi="Arial" w:cs="Arial"/>
        </w:rPr>
      </w:pPr>
    </w:p>
    <w:p w:rsidR="005F2011" w:rsidRDefault="00E42255" w:rsidP="00C02672">
      <w:pPr>
        <w:rPr>
          <w:rFonts w:eastAsia="Arial"/>
        </w:rPr>
      </w:pPr>
      <w:r>
        <w:rPr>
          <w:rFonts w:eastAsia="Arial"/>
        </w:rPr>
        <w:t>Pro následný program Národní centra kompetence 2 se předpokládá následující financování</w:t>
      </w:r>
      <w:r w:rsidR="00BC5875">
        <w:rPr>
          <w:rFonts w:eastAsia="Arial"/>
        </w:rPr>
        <w:t xml:space="preserve"> (</w:t>
      </w:r>
      <w:r w:rsidR="00ED4D19">
        <w:rPr>
          <w:rFonts w:eastAsia="Arial"/>
        </w:rPr>
        <w:t>v </w:t>
      </w:r>
      <w:r w:rsidR="00BC5875">
        <w:rPr>
          <w:rFonts w:eastAsia="Arial"/>
        </w:rPr>
        <w:t>mil. Kč)</w:t>
      </w:r>
      <w:r>
        <w:rPr>
          <w:rFonts w:eastAsia="Arial"/>
        </w:rPr>
        <w:t>:</w:t>
      </w:r>
    </w:p>
    <w:tbl>
      <w:tblPr>
        <w:tblStyle w:val="a0"/>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00" w:firstRow="0" w:lastRow="0" w:firstColumn="0" w:lastColumn="0" w:noHBand="0" w:noVBand="1"/>
      </w:tblPr>
      <w:tblGrid>
        <w:gridCol w:w="2183"/>
        <w:gridCol w:w="980"/>
        <w:gridCol w:w="675"/>
        <w:gridCol w:w="501"/>
        <w:gridCol w:w="501"/>
        <w:gridCol w:w="501"/>
        <w:gridCol w:w="501"/>
        <w:gridCol w:w="1009"/>
      </w:tblGrid>
      <w:tr w:rsidR="00E42255" w:rsidTr="002311F6">
        <w:trPr>
          <w:cnfStyle w:val="000000100000" w:firstRow="0" w:lastRow="0" w:firstColumn="0" w:lastColumn="0" w:oddVBand="0" w:evenVBand="0" w:oddHBand="1" w:evenHBand="0" w:firstRowFirstColumn="0" w:firstRowLastColumn="0" w:lastRowFirstColumn="0" w:lastRowLastColumn="0"/>
        </w:trPr>
        <w:tc>
          <w:tcPr>
            <w:tcW w:w="2183" w:type="dxa"/>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b/>
                <w:sz w:val="20"/>
                <w:szCs w:val="20"/>
              </w:rPr>
            </w:pPr>
            <w:r>
              <w:rPr>
                <w:rFonts w:ascii="Arial" w:eastAsia="Arial" w:hAnsi="Arial" w:cs="Arial"/>
                <w:b/>
                <w:sz w:val="20"/>
                <w:szCs w:val="20"/>
              </w:rPr>
              <w:lastRenderedPageBreak/>
              <w:t>Rok</w:t>
            </w:r>
          </w:p>
        </w:tc>
        <w:tc>
          <w:tcPr>
            <w:tcW w:w="980" w:type="dxa"/>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b/>
                <w:sz w:val="20"/>
                <w:szCs w:val="20"/>
              </w:rPr>
            </w:pPr>
            <w:r>
              <w:rPr>
                <w:rFonts w:ascii="Arial" w:eastAsia="Arial" w:hAnsi="Arial" w:cs="Arial"/>
                <w:b/>
                <w:sz w:val="20"/>
                <w:szCs w:val="20"/>
              </w:rPr>
              <w:t>2021</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b/>
                <w:sz w:val="20"/>
                <w:szCs w:val="20"/>
              </w:rPr>
            </w:pPr>
            <w:r>
              <w:rPr>
                <w:rFonts w:ascii="Arial" w:eastAsia="Arial" w:hAnsi="Arial" w:cs="Arial"/>
                <w:b/>
                <w:sz w:val="20"/>
                <w:szCs w:val="20"/>
              </w:rPr>
              <w:t>2022</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2023</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2024</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2025</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2026</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b/>
                <w:sz w:val="20"/>
                <w:szCs w:val="20"/>
              </w:rPr>
            </w:pPr>
            <w:r>
              <w:rPr>
                <w:rFonts w:ascii="Arial" w:eastAsia="Arial" w:hAnsi="Arial" w:cs="Arial"/>
                <w:b/>
                <w:sz w:val="20"/>
                <w:szCs w:val="20"/>
              </w:rPr>
              <w:t>Celkem</w:t>
            </w:r>
          </w:p>
        </w:tc>
      </w:tr>
      <w:tr w:rsidR="00E42255" w:rsidRPr="0036175A" w:rsidTr="002311F6">
        <w:trPr>
          <w:cnfStyle w:val="000000010000" w:firstRow="0" w:lastRow="0" w:firstColumn="0" w:lastColumn="0" w:oddVBand="0" w:evenVBand="0" w:oddHBand="0" w:evenHBand="1" w:firstRowFirstColumn="0" w:firstRowLastColumn="0" w:lastRowFirstColumn="0" w:lastRowLastColumn="0"/>
          <w:trHeight w:val="900"/>
        </w:trPr>
        <w:tc>
          <w:tcPr>
            <w:tcW w:w="2183" w:type="dxa"/>
            <w:tcBorders>
              <w:top w:val="single" w:sz="4" w:space="0" w:color="000000"/>
              <w:left w:val="single" w:sz="4" w:space="0" w:color="000000"/>
              <w:bottom w:val="single" w:sz="4" w:space="0" w:color="000000"/>
              <w:right w:val="single" w:sz="4" w:space="0" w:color="000000"/>
            </w:tcBorders>
            <w:vAlign w:val="center"/>
          </w:tcPr>
          <w:p w:rsidR="00E42255" w:rsidRPr="0036175A" w:rsidRDefault="00E42255" w:rsidP="006B4CC1">
            <w:pPr>
              <w:keepNext/>
              <w:spacing w:before="120" w:after="120"/>
              <w:jc w:val="center"/>
              <w:rPr>
                <w:rFonts w:ascii="Arial" w:eastAsia="Arial" w:hAnsi="Arial" w:cs="Arial"/>
                <w:sz w:val="20"/>
                <w:szCs w:val="20"/>
              </w:rPr>
            </w:pPr>
            <w:r>
              <w:rPr>
                <w:rFonts w:ascii="Arial" w:eastAsia="Arial" w:hAnsi="Arial" w:cs="Arial"/>
                <w:sz w:val="20"/>
                <w:szCs w:val="20"/>
              </w:rPr>
              <w:t>Celkové výdaje</w:t>
            </w:r>
          </w:p>
        </w:tc>
        <w:tc>
          <w:tcPr>
            <w:tcW w:w="980" w:type="dxa"/>
            <w:tcBorders>
              <w:top w:val="single" w:sz="4" w:space="0" w:color="000000"/>
              <w:left w:val="single" w:sz="4" w:space="0" w:color="000000"/>
              <w:bottom w:val="single" w:sz="4" w:space="0" w:color="000000"/>
              <w:right w:val="single" w:sz="4" w:space="0" w:color="000000"/>
            </w:tcBorders>
            <w:vAlign w:val="center"/>
          </w:tcPr>
          <w:p w:rsidR="00E42255" w:rsidRPr="0036175A" w:rsidRDefault="003705C7" w:rsidP="006B4CC1">
            <w:pPr>
              <w:keepNext/>
              <w:spacing w:before="120" w:after="120"/>
              <w:jc w:val="center"/>
              <w:rPr>
                <w:rFonts w:ascii="Arial" w:eastAsia="Arial" w:hAnsi="Arial" w:cs="Arial"/>
                <w:sz w:val="20"/>
                <w:szCs w:val="20"/>
              </w:rPr>
            </w:pPr>
            <w:r>
              <w:rPr>
                <w:rFonts w:ascii="Arial" w:eastAsia="Arial" w:hAnsi="Arial" w:cs="Arial"/>
                <w:sz w:val="16"/>
                <w:szCs w:val="16"/>
              </w:rPr>
              <w:t>5</w:t>
            </w:r>
            <w:r w:rsidR="00F92455">
              <w:rPr>
                <w:rFonts w:ascii="Arial" w:eastAsia="Arial" w:hAnsi="Arial" w:cs="Arial"/>
                <w:sz w:val="16"/>
                <w:szCs w:val="16"/>
              </w:rPr>
              <w:t>58,75</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Pr="0036175A" w:rsidRDefault="003705C7" w:rsidP="006B4CC1">
            <w:pPr>
              <w:keepNext/>
              <w:spacing w:before="120" w:after="120"/>
              <w:jc w:val="center"/>
              <w:rPr>
                <w:rFonts w:ascii="Arial" w:eastAsia="Arial" w:hAnsi="Arial" w:cs="Arial"/>
                <w:sz w:val="20"/>
                <w:szCs w:val="20"/>
              </w:rPr>
            </w:pPr>
            <w:r>
              <w:rPr>
                <w:rFonts w:ascii="Arial" w:eastAsia="Arial" w:hAnsi="Arial" w:cs="Arial"/>
                <w:sz w:val="20"/>
                <w:szCs w:val="20"/>
              </w:rPr>
              <w:t>7</w:t>
            </w:r>
            <w:r w:rsidR="00F92455">
              <w:rPr>
                <w:rFonts w:ascii="Arial" w:eastAsia="Arial" w:hAnsi="Arial" w:cs="Arial"/>
                <w:sz w:val="20"/>
                <w:szCs w:val="20"/>
              </w:rPr>
              <w:t>70</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Pr="0036175A" w:rsidRDefault="00E42255" w:rsidP="006B4CC1">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Pr="0036175A" w:rsidRDefault="00F92455" w:rsidP="006B4CC1">
            <w:pPr>
              <w:keepNext/>
              <w:spacing w:before="120" w:after="120"/>
              <w:jc w:val="center"/>
              <w:rPr>
                <w:rFonts w:ascii="Arial" w:eastAsia="Arial" w:hAnsi="Arial" w:cs="Arial"/>
                <w:sz w:val="20"/>
                <w:szCs w:val="20"/>
              </w:rPr>
            </w:pPr>
            <w:r>
              <w:rPr>
                <w:rFonts w:ascii="Arial" w:eastAsia="Arial" w:hAnsi="Arial" w:cs="Arial"/>
                <w:sz w:val="20"/>
                <w:szCs w:val="20"/>
              </w:rPr>
              <w:t>6 688,75</w:t>
            </w:r>
          </w:p>
        </w:tc>
      </w:tr>
      <w:tr w:rsidR="00E42255" w:rsidTr="002311F6">
        <w:trPr>
          <w:cnfStyle w:val="000000100000" w:firstRow="0" w:lastRow="0" w:firstColumn="0" w:lastColumn="0" w:oddVBand="0" w:evenVBand="0" w:oddHBand="1" w:evenHBand="0" w:firstRowFirstColumn="0" w:firstRowLastColumn="0" w:lastRowFirstColumn="0" w:lastRowLastColumn="0"/>
          <w:trHeight w:val="900"/>
        </w:trPr>
        <w:tc>
          <w:tcPr>
            <w:tcW w:w="2183" w:type="dxa"/>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sz w:val="20"/>
                <w:szCs w:val="20"/>
              </w:rPr>
            </w:pPr>
            <w:r>
              <w:rPr>
                <w:rFonts w:ascii="Arial" w:eastAsia="Arial" w:hAnsi="Arial" w:cs="Arial"/>
                <w:sz w:val="20"/>
                <w:szCs w:val="20"/>
              </w:rPr>
              <w:t>Výdaje státního rozpočtu</w:t>
            </w:r>
          </w:p>
        </w:tc>
        <w:tc>
          <w:tcPr>
            <w:tcW w:w="980" w:type="dxa"/>
            <w:tcBorders>
              <w:top w:val="single" w:sz="4" w:space="0" w:color="000000"/>
              <w:left w:val="single" w:sz="4" w:space="0" w:color="000000"/>
              <w:bottom w:val="single" w:sz="4" w:space="0" w:color="000000"/>
              <w:right w:val="single" w:sz="4" w:space="0" w:color="000000"/>
            </w:tcBorders>
            <w:vAlign w:val="center"/>
          </w:tcPr>
          <w:p w:rsidR="00E42255" w:rsidRDefault="003705C7" w:rsidP="006B4CC1">
            <w:pPr>
              <w:keepNext/>
              <w:spacing w:before="120" w:after="120"/>
              <w:jc w:val="center"/>
              <w:rPr>
                <w:rFonts w:ascii="Arial" w:eastAsia="Arial" w:hAnsi="Arial" w:cs="Arial"/>
                <w:sz w:val="20"/>
                <w:szCs w:val="20"/>
              </w:rPr>
            </w:pPr>
            <w:r>
              <w:rPr>
                <w:rFonts w:ascii="Arial" w:eastAsia="Arial" w:hAnsi="Arial" w:cs="Arial"/>
                <w:sz w:val="20"/>
                <w:szCs w:val="20"/>
              </w:rPr>
              <w:t>447</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3705C7" w:rsidP="006B4CC1">
            <w:pPr>
              <w:keepNext/>
              <w:spacing w:before="120" w:after="120"/>
              <w:jc w:val="center"/>
              <w:rPr>
                <w:rFonts w:ascii="Arial" w:eastAsia="Arial" w:hAnsi="Arial" w:cs="Arial"/>
                <w:sz w:val="20"/>
                <w:szCs w:val="20"/>
              </w:rPr>
            </w:pPr>
            <w:r>
              <w:rPr>
                <w:rFonts w:ascii="Arial" w:eastAsia="Arial" w:hAnsi="Arial" w:cs="Arial"/>
                <w:sz w:val="20"/>
                <w:szCs w:val="20"/>
              </w:rPr>
              <w:t>61</w:t>
            </w:r>
            <w:r w:rsidR="00F92455">
              <w:rPr>
                <w:rFonts w:ascii="Arial" w:eastAsia="Arial" w:hAnsi="Arial" w:cs="Arial"/>
                <w:sz w:val="20"/>
                <w:szCs w:val="20"/>
              </w:rPr>
              <w:t>6</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1072</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F92455" w:rsidP="006B4CC1">
            <w:pPr>
              <w:keepNext/>
              <w:spacing w:before="120" w:after="120"/>
              <w:jc w:val="center"/>
              <w:rPr>
                <w:rFonts w:ascii="Arial" w:eastAsia="Arial" w:hAnsi="Arial" w:cs="Arial"/>
                <w:sz w:val="20"/>
                <w:szCs w:val="20"/>
              </w:rPr>
            </w:pPr>
            <w:r>
              <w:rPr>
                <w:rFonts w:ascii="Arial" w:eastAsia="Arial" w:hAnsi="Arial" w:cs="Arial"/>
                <w:sz w:val="20"/>
                <w:szCs w:val="20"/>
              </w:rPr>
              <w:t>5 351</w:t>
            </w:r>
          </w:p>
        </w:tc>
      </w:tr>
      <w:tr w:rsidR="00E42255" w:rsidTr="002311F6">
        <w:trPr>
          <w:cnfStyle w:val="000000010000" w:firstRow="0" w:lastRow="0" w:firstColumn="0" w:lastColumn="0" w:oddVBand="0" w:evenVBand="0" w:oddHBand="0" w:evenHBand="1" w:firstRowFirstColumn="0" w:firstRowLastColumn="0" w:lastRowFirstColumn="0" w:lastRowLastColumn="0"/>
          <w:trHeight w:val="900"/>
        </w:trPr>
        <w:tc>
          <w:tcPr>
            <w:tcW w:w="2183" w:type="dxa"/>
            <w:tcBorders>
              <w:top w:val="single" w:sz="4" w:space="0" w:color="000000"/>
              <w:left w:val="single" w:sz="4" w:space="0" w:color="000000"/>
              <w:bottom w:val="single" w:sz="4" w:space="0" w:color="000000"/>
              <w:right w:val="single" w:sz="4" w:space="0" w:color="000000"/>
            </w:tcBorders>
            <w:vAlign w:val="center"/>
          </w:tcPr>
          <w:p w:rsidR="00E42255" w:rsidRDefault="00E42255" w:rsidP="006B4CC1">
            <w:pPr>
              <w:keepNext/>
              <w:spacing w:before="120" w:after="120"/>
              <w:jc w:val="center"/>
              <w:rPr>
                <w:rFonts w:ascii="Arial" w:eastAsia="Arial" w:hAnsi="Arial" w:cs="Arial"/>
                <w:sz w:val="20"/>
                <w:szCs w:val="20"/>
              </w:rPr>
            </w:pPr>
            <w:r>
              <w:rPr>
                <w:rFonts w:ascii="Arial" w:eastAsia="Arial" w:hAnsi="Arial" w:cs="Arial"/>
                <w:sz w:val="20"/>
                <w:szCs w:val="20"/>
              </w:rPr>
              <w:t>Neveřejné zdroje</w:t>
            </w:r>
          </w:p>
        </w:tc>
        <w:tc>
          <w:tcPr>
            <w:tcW w:w="980" w:type="dxa"/>
            <w:tcBorders>
              <w:top w:val="single" w:sz="4" w:space="0" w:color="000000"/>
              <w:left w:val="single" w:sz="4" w:space="0" w:color="000000"/>
              <w:bottom w:val="single" w:sz="4" w:space="0" w:color="000000"/>
              <w:right w:val="single" w:sz="4" w:space="0" w:color="000000"/>
            </w:tcBorders>
            <w:vAlign w:val="center"/>
          </w:tcPr>
          <w:p w:rsidR="00E42255" w:rsidRDefault="00F92455" w:rsidP="006B4CC1">
            <w:pPr>
              <w:keepNext/>
              <w:spacing w:before="120" w:after="120"/>
              <w:jc w:val="center"/>
              <w:rPr>
                <w:rFonts w:ascii="Arial" w:eastAsia="Arial" w:hAnsi="Arial" w:cs="Arial"/>
                <w:sz w:val="20"/>
                <w:szCs w:val="20"/>
              </w:rPr>
            </w:pPr>
            <w:r>
              <w:rPr>
                <w:rFonts w:ascii="Arial" w:eastAsia="Arial" w:hAnsi="Arial" w:cs="Arial"/>
                <w:sz w:val="20"/>
                <w:szCs w:val="20"/>
              </w:rPr>
              <w:t>1</w:t>
            </w:r>
            <w:r w:rsidR="003705C7">
              <w:rPr>
                <w:rFonts w:ascii="Arial" w:eastAsia="Arial" w:hAnsi="Arial" w:cs="Arial"/>
                <w:sz w:val="20"/>
                <w:szCs w:val="20"/>
              </w:rPr>
              <w:t>1</w:t>
            </w:r>
            <w:r>
              <w:rPr>
                <w:rFonts w:ascii="Arial" w:eastAsia="Arial" w:hAnsi="Arial" w:cs="Arial"/>
                <w:sz w:val="20"/>
                <w:szCs w:val="20"/>
              </w:rPr>
              <w:t>1,75</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F92455" w:rsidP="006B4CC1">
            <w:pPr>
              <w:keepNext/>
              <w:spacing w:before="120" w:after="120"/>
              <w:jc w:val="center"/>
              <w:rPr>
                <w:rFonts w:ascii="Arial" w:eastAsia="Arial" w:hAnsi="Arial" w:cs="Arial"/>
                <w:sz w:val="20"/>
                <w:szCs w:val="20"/>
              </w:rPr>
            </w:pPr>
            <w:r>
              <w:rPr>
                <w:rFonts w:ascii="Arial" w:eastAsia="Arial" w:hAnsi="Arial" w:cs="Arial"/>
                <w:sz w:val="20"/>
                <w:szCs w:val="20"/>
              </w:rPr>
              <w:t>1</w:t>
            </w:r>
            <w:r w:rsidR="003705C7">
              <w:rPr>
                <w:rFonts w:ascii="Arial" w:eastAsia="Arial" w:hAnsi="Arial" w:cs="Arial"/>
                <w:sz w:val="20"/>
                <w:szCs w:val="20"/>
              </w:rPr>
              <w:t>5</w:t>
            </w:r>
            <w:r>
              <w:rPr>
                <w:rFonts w:ascii="Arial" w:eastAsia="Arial" w:hAnsi="Arial" w:cs="Arial"/>
                <w:sz w:val="20"/>
                <w:szCs w:val="20"/>
              </w:rPr>
              <w:t>4</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0" w:type="auto"/>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E42255" w:rsidRDefault="00E42255" w:rsidP="006B4CC1">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268</w:t>
            </w:r>
          </w:p>
        </w:tc>
        <w:tc>
          <w:tcPr>
            <w:tcW w:w="0" w:type="auto"/>
            <w:tcBorders>
              <w:top w:val="single" w:sz="4" w:space="0" w:color="000000"/>
              <w:left w:val="single" w:sz="4" w:space="0" w:color="000000"/>
              <w:bottom w:val="single" w:sz="4" w:space="0" w:color="000000"/>
              <w:right w:val="single" w:sz="4" w:space="0" w:color="000000"/>
            </w:tcBorders>
            <w:vAlign w:val="center"/>
          </w:tcPr>
          <w:p w:rsidR="00E42255" w:rsidRDefault="00F92455" w:rsidP="006B4CC1">
            <w:pPr>
              <w:keepNext/>
              <w:spacing w:before="120" w:after="120"/>
              <w:jc w:val="center"/>
              <w:rPr>
                <w:rFonts w:ascii="Arial" w:eastAsia="Arial" w:hAnsi="Arial" w:cs="Arial"/>
                <w:sz w:val="20"/>
                <w:szCs w:val="20"/>
              </w:rPr>
            </w:pPr>
            <w:r>
              <w:rPr>
                <w:rFonts w:ascii="Arial" w:hAnsi="Arial" w:cs="Arial"/>
                <w:sz w:val="20"/>
                <w:szCs w:val="20"/>
              </w:rPr>
              <w:t>1337,75</w:t>
            </w:r>
          </w:p>
        </w:tc>
      </w:tr>
    </w:tbl>
    <w:p w:rsidR="005F2011" w:rsidRPr="00C02672" w:rsidRDefault="005F2011" w:rsidP="00C02672">
      <w:pPr>
        <w:rPr>
          <w:rFonts w:eastAsia="Arial"/>
        </w:rPr>
      </w:pPr>
    </w:p>
    <w:p w:rsidR="009C04DF" w:rsidRDefault="00C81E56">
      <w:pPr>
        <w:pStyle w:val="Nadpis1"/>
        <w:numPr>
          <w:ilvl w:val="0"/>
          <w:numId w:val="2"/>
        </w:numPr>
        <w:ind w:hanging="432"/>
        <w:rPr>
          <w:rFonts w:ascii="Arial" w:eastAsia="Arial" w:hAnsi="Arial" w:cs="Arial"/>
        </w:rPr>
      </w:pPr>
      <w:r>
        <w:rPr>
          <w:rFonts w:ascii="Arial" w:eastAsia="Arial" w:hAnsi="Arial" w:cs="Arial"/>
        </w:rPr>
        <w:t>MÍRA PODPORY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Předpokládaná průměrná míra podpory celkově za program je </w:t>
      </w:r>
      <w:r w:rsidR="0036175A">
        <w:rPr>
          <w:rFonts w:ascii="Arial" w:eastAsia="Arial" w:hAnsi="Arial" w:cs="Arial"/>
          <w:sz w:val="22"/>
          <w:szCs w:val="22"/>
        </w:rPr>
        <w:t>8</w:t>
      </w:r>
      <w:r w:rsidR="0095286C">
        <w:rPr>
          <w:rFonts w:ascii="Arial" w:eastAsia="Arial" w:hAnsi="Arial" w:cs="Arial"/>
          <w:sz w:val="22"/>
          <w:szCs w:val="22"/>
        </w:rPr>
        <w:t xml:space="preserve">0 </w:t>
      </w:r>
      <w:r>
        <w:rPr>
          <w:rFonts w:ascii="Arial" w:eastAsia="Arial" w:hAnsi="Arial" w:cs="Arial"/>
          <w:sz w:val="22"/>
          <w:szCs w:val="22"/>
        </w:rPr>
        <w:t xml:space="preserve">%. </w:t>
      </w:r>
      <w:r w:rsidR="005276A3" w:rsidRPr="005276A3">
        <w:rPr>
          <w:rFonts w:ascii="Arial" w:eastAsia="Arial" w:hAnsi="Arial" w:cs="Arial"/>
          <w:sz w:val="22"/>
          <w:szCs w:val="22"/>
        </w:rPr>
        <w:t>Nejvyšší povolená míra podpory</w:t>
      </w:r>
      <w:r w:rsidR="005276A3">
        <w:rPr>
          <w:rFonts w:ascii="Arial" w:eastAsia="Arial" w:hAnsi="Arial" w:cs="Arial"/>
          <w:sz w:val="22"/>
          <w:szCs w:val="22"/>
        </w:rPr>
        <w:t xml:space="preserve"> na projekt je 90 %. </w:t>
      </w:r>
      <w:r>
        <w:rPr>
          <w:rFonts w:ascii="Arial" w:eastAsia="Arial" w:hAnsi="Arial" w:cs="Arial"/>
          <w:sz w:val="22"/>
          <w:szCs w:val="22"/>
        </w:rPr>
        <w:t>Míra podpory, stanovená jako procento uznaných nákladů projektu, bude vypočtena pro každý projekt i pro každého příjemce a dalšího účastníka</w:t>
      </w:r>
      <w:bookmarkStart w:id="0" w:name="_GoBack"/>
      <w:bookmarkEnd w:id="0"/>
      <w:r>
        <w:rPr>
          <w:rFonts w:ascii="Arial" w:eastAsia="Arial" w:hAnsi="Arial" w:cs="Arial"/>
          <w:sz w:val="22"/>
          <w:szCs w:val="22"/>
        </w:rPr>
        <w: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Předpokládá se, že nedílnou podmínkou poskytnutí podpory bude zajištění významné části finančních prostředků z jiných zdrojů (neveřejné prostředky, programy EU apod.). Tato podmínka bude blíže specifikována v zadávací dokumentaci k veřejné soutěži. </w:t>
      </w:r>
    </w:p>
    <w:p w:rsidR="009C04DF" w:rsidRDefault="00C81E56">
      <w:pPr>
        <w:pStyle w:val="Nadpis1"/>
        <w:numPr>
          <w:ilvl w:val="0"/>
          <w:numId w:val="2"/>
        </w:numPr>
        <w:ind w:hanging="432"/>
        <w:rPr>
          <w:rFonts w:ascii="Arial" w:eastAsia="Arial" w:hAnsi="Arial" w:cs="Arial"/>
        </w:rPr>
      </w:pPr>
      <w:r>
        <w:rPr>
          <w:rFonts w:ascii="Arial" w:eastAsia="Arial" w:hAnsi="Arial" w:cs="Arial"/>
        </w:rPr>
        <w:t>ZPŮSOBILÉ A UZNANÉ NÁKLADY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s Nařízením.</w:t>
      </w:r>
      <w:r w:rsidR="00557F90">
        <w:rPr>
          <w:rFonts w:ascii="Arial" w:eastAsia="Arial" w:hAnsi="Arial" w:cs="Arial"/>
          <w:sz w:val="22"/>
          <w:szCs w:val="22"/>
        </w:rPr>
        <w:t xml:space="preserve"> </w:t>
      </w:r>
      <w:r w:rsidR="00557F90" w:rsidRPr="00557F90">
        <w:rPr>
          <w:rFonts w:ascii="Arial" w:eastAsia="Arial" w:hAnsi="Arial" w:cs="Arial"/>
          <w:sz w:val="22"/>
          <w:szCs w:val="22"/>
        </w:rPr>
        <w:t>Bližší specifikace způsobilých nákladů bude součástí zadávací dokumentace k příslušné veřejné soutěži.</w:t>
      </w:r>
    </w:p>
    <w:p w:rsidR="009C04DF" w:rsidRDefault="00C81E56">
      <w:pPr>
        <w:pStyle w:val="Nadpis1"/>
        <w:numPr>
          <w:ilvl w:val="0"/>
          <w:numId w:val="2"/>
        </w:numPr>
        <w:ind w:hanging="432"/>
        <w:rPr>
          <w:rFonts w:ascii="Arial" w:eastAsia="Arial" w:hAnsi="Arial" w:cs="Arial"/>
        </w:rPr>
      </w:pPr>
      <w:r>
        <w:rPr>
          <w:rFonts w:ascii="Arial" w:eastAsia="Arial" w:hAnsi="Arial" w:cs="Arial"/>
        </w:rPr>
        <w:t>MOTIVAČNÍ ÚČINEK</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 naplnění cílů programu a podmínek Nařízení bude poskytovatel v rámci procesu hodnocení návrhů projektů posuzovat přítomnost motivačního účinku podpory podle čl. 6 Nařízení. </w:t>
      </w:r>
    </w:p>
    <w:p w:rsidR="009C04DF" w:rsidRDefault="00C81E56">
      <w:pPr>
        <w:pStyle w:val="Nadpis1"/>
        <w:numPr>
          <w:ilvl w:val="0"/>
          <w:numId w:val="2"/>
        </w:numPr>
        <w:ind w:hanging="432"/>
        <w:rPr>
          <w:rFonts w:ascii="Arial" w:eastAsia="Arial" w:hAnsi="Arial" w:cs="Arial"/>
        </w:rPr>
      </w:pPr>
      <w:r>
        <w:rPr>
          <w:rFonts w:ascii="Arial" w:eastAsia="Arial" w:hAnsi="Arial" w:cs="Arial"/>
        </w:rPr>
        <w:t>ZPŮSOB A OBECNÁ KRITÉRIA HODNOCENÍ PROJEKTŮ</w:t>
      </w:r>
    </w:p>
    <w:p w:rsidR="009C04DF" w:rsidRDefault="00C81E56">
      <w:pPr>
        <w:spacing w:before="240" w:after="120"/>
        <w:jc w:val="both"/>
        <w:rPr>
          <w:rFonts w:ascii="Arial" w:eastAsia="Arial" w:hAnsi="Arial" w:cs="Arial"/>
          <w:b/>
          <w:sz w:val="22"/>
          <w:szCs w:val="22"/>
        </w:rPr>
      </w:pPr>
      <w:r>
        <w:rPr>
          <w:rFonts w:ascii="Arial" w:eastAsia="Arial" w:hAnsi="Arial" w:cs="Arial"/>
          <w:b/>
          <w:sz w:val="22"/>
          <w:szCs w:val="22"/>
        </w:rPr>
        <w:t>Hodnocení návrhů projektů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Návrhy projektů budou TA ČR komplexně hodnoceny v souladu se zákonem o podpoře výzkumu, experimentálního vývoje a inovací. Každý návrh projektu bude hodnocen několika nezávislými oponenty. Do hodnocení návrhů projektů budou zapojeni zahraniční hodnotitelé. Pro hodnocení návrhů projektů přijatých do veřejné soutěže ustaví TA ČR odborný poradní orgán.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Navrhovaná obecná kritéria hodnocení:</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 xml:space="preserve">splnění podmínek veřejné soutěže, </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 xml:space="preserve">potřebnost projektu a jeho přínos k naplňování cílů programu a relevantních </w:t>
      </w:r>
      <w:r>
        <w:rPr>
          <w:rFonts w:ascii="Arial" w:eastAsia="Arial" w:hAnsi="Arial" w:cs="Arial"/>
          <w:sz w:val="22"/>
          <w:szCs w:val="22"/>
        </w:rPr>
        <w:lastRenderedPageBreak/>
        <w:t>národních strategií;</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proveditelnost a postup realizace projektu;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 xml:space="preserve">návrh tematického / výzkumného zaměření; </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dosavadní kvalita, výsledky a zkušenosti účastníků / realizačního týmu</w:t>
      </w:r>
      <w:r w:rsidR="0095286C">
        <w:rPr>
          <w:rFonts w:ascii="Arial" w:eastAsia="Arial" w:hAnsi="Arial" w:cs="Arial"/>
          <w:sz w:val="22"/>
          <w:szCs w:val="22"/>
        </w:rPr>
        <w:t xml:space="preserve"> (včetně mezinárodních zkušeností a spolupráce)</w:t>
      </w:r>
      <w:r>
        <w:rPr>
          <w:rFonts w:ascii="Arial" w:eastAsia="Arial" w:hAnsi="Arial" w:cs="Arial"/>
          <w:sz w:val="22"/>
          <w:szCs w:val="22"/>
        </w:rPr>
        <w:t>, a to i s ohledem na zaměření centra;</w:t>
      </w:r>
    </w:p>
    <w:p w:rsidR="009C04DF" w:rsidRDefault="00C81E56">
      <w:pPr>
        <w:numPr>
          <w:ilvl w:val="0"/>
          <w:numId w:val="5"/>
        </w:numPr>
        <w:spacing w:before="120" w:after="120"/>
        <w:ind w:hanging="360"/>
        <w:jc w:val="both"/>
        <w:rPr>
          <w:sz w:val="22"/>
          <w:szCs w:val="22"/>
        </w:rPr>
      </w:pPr>
      <w:r>
        <w:rPr>
          <w:rFonts w:ascii="Arial" w:eastAsia="Arial" w:hAnsi="Arial" w:cs="Arial"/>
          <w:sz w:val="22"/>
          <w:szCs w:val="22"/>
        </w:rPr>
        <w:t>rozsah a charakter spolupráce uvnitř konsorcia, způsob organizačního zajištění činnosti centra a účinná spolupráce mezi podniky a výzkumnými organizacemi;</w:t>
      </w:r>
    </w:p>
    <w:p w:rsidR="009C04DF" w:rsidRDefault="00C81E56">
      <w:pPr>
        <w:numPr>
          <w:ilvl w:val="0"/>
          <w:numId w:val="5"/>
        </w:numPr>
        <w:spacing w:before="120" w:after="120"/>
        <w:ind w:hanging="360"/>
        <w:jc w:val="both"/>
        <w:rPr>
          <w:sz w:val="22"/>
          <w:szCs w:val="22"/>
        </w:rPr>
      </w:pPr>
      <w:r>
        <w:rPr>
          <w:rFonts w:ascii="Arial" w:eastAsia="Arial" w:hAnsi="Arial" w:cs="Arial"/>
          <w:sz w:val="22"/>
          <w:szCs w:val="22"/>
        </w:rPr>
        <w:t xml:space="preserve">aplikační potenciál zvoleného zaměření centra a navržený způsob spolupráce s aplikační sférou </w:t>
      </w:r>
      <w:r w:rsidR="00900813">
        <w:rPr>
          <w:rFonts w:ascii="Arial" w:eastAsia="Arial" w:hAnsi="Arial" w:cs="Arial"/>
          <w:sz w:val="22"/>
          <w:szCs w:val="22"/>
        </w:rPr>
        <w:t>a jeho dlouhodobá vize,</w:t>
      </w:r>
    </w:p>
    <w:p w:rsidR="00363E99" w:rsidRPr="00BB3E53" w:rsidRDefault="00C81E56">
      <w:pPr>
        <w:numPr>
          <w:ilvl w:val="0"/>
          <w:numId w:val="5"/>
        </w:numPr>
        <w:spacing w:before="120" w:after="120"/>
        <w:ind w:hanging="360"/>
        <w:jc w:val="both"/>
        <w:rPr>
          <w:rFonts w:ascii="Arial" w:hAnsi="Arial" w:cs="Arial"/>
          <w:sz w:val="22"/>
          <w:szCs w:val="22"/>
        </w:rPr>
      </w:pPr>
      <w:r w:rsidRPr="00363E99">
        <w:rPr>
          <w:rFonts w:ascii="Arial" w:eastAsia="Arial" w:hAnsi="Arial" w:cs="Arial"/>
          <w:sz w:val="22"/>
          <w:szCs w:val="22"/>
        </w:rPr>
        <w:t>celkový rozpočet na řešení projekt</w:t>
      </w:r>
      <w:r w:rsidR="00363E99" w:rsidRPr="00363E99">
        <w:rPr>
          <w:rFonts w:ascii="Arial" w:eastAsia="Arial" w:hAnsi="Arial" w:cs="Arial"/>
          <w:sz w:val="22"/>
          <w:szCs w:val="22"/>
        </w:rPr>
        <w:t xml:space="preserve">u </w:t>
      </w:r>
      <w:r w:rsidR="00363E99" w:rsidRPr="00BB3E53">
        <w:rPr>
          <w:rFonts w:ascii="Arial" w:hAnsi="Arial" w:cs="Arial"/>
          <w:sz w:val="22"/>
          <w:szCs w:val="22"/>
        </w:rPr>
        <w:t>a jeho přiměřenost k návrhu řešení projektu</w:t>
      </w:r>
      <w:r w:rsidR="00363E99">
        <w:rPr>
          <w:rFonts w:ascii="Arial" w:hAnsi="Arial" w:cs="Arial"/>
          <w:sz w:val="22"/>
          <w:szCs w:val="22"/>
        </w:rPr>
        <w:t>,</w:t>
      </w:r>
      <w:r w:rsidR="00363E99" w:rsidRPr="00BB3E53">
        <w:rPr>
          <w:rFonts w:ascii="Arial" w:hAnsi="Arial" w:cs="Arial"/>
          <w:sz w:val="22"/>
          <w:szCs w:val="22"/>
        </w:rPr>
        <w:t xml:space="preserve"> </w:t>
      </w:r>
    </w:p>
    <w:p w:rsidR="009C04DF" w:rsidRDefault="00363E99">
      <w:pPr>
        <w:numPr>
          <w:ilvl w:val="0"/>
          <w:numId w:val="5"/>
        </w:numPr>
        <w:spacing w:before="120" w:after="120"/>
        <w:ind w:hanging="360"/>
        <w:jc w:val="both"/>
        <w:rPr>
          <w:sz w:val="22"/>
          <w:szCs w:val="22"/>
        </w:rPr>
      </w:pPr>
      <w:r w:rsidRPr="00BB3E53">
        <w:rPr>
          <w:rFonts w:ascii="Arial" w:hAnsi="Arial" w:cs="Arial"/>
          <w:sz w:val="22"/>
          <w:szCs w:val="22"/>
        </w:rPr>
        <w:t>objem spolupráce s aplikační sférou.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Podrobný způsob hodnocení návrhů projektu, bodové a prahové hodnoty jednotlivých kritérií hodnocení stanoví zadávací dokumentace k příslušné veřejné soutěži.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 hodnocení případných duplicit, návazností, komplementarit a synergií mezi různými již realizovanými projekty a návrhy projektů využije poskytovatel datové a analytické nástroje.</w:t>
      </w:r>
      <w:r w:rsidR="00557F90">
        <w:rPr>
          <w:rFonts w:ascii="Arial" w:eastAsia="Arial" w:hAnsi="Arial" w:cs="Arial"/>
          <w:sz w:val="22"/>
          <w:szCs w:val="22"/>
        </w:rPr>
        <w:t xml:space="preserve"> </w:t>
      </w:r>
      <w:r w:rsidR="00557F90" w:rsidRPr="00557F90">
        <w:rPr>
          <w:rFonts w:ascii="Arial" w:eastAsia="Arial" w:hAnsi="Arial" w:cs="Arial"/>
          <w:sz w:val="22"/>
          <w:szCs w:val="22"/>
        </w:rPr>
        <w:t xml:space="preserve">K vyloučení možných duplicit projektů bude nastavení konkrétní veřejné soutěže realizováno ve spolupráci TA ČR s Ministerstvem </w:t>
      </w:r>
      <w:r w:rsidR="00557F90">
        <w:rPr>
          <w:rFonts w:ascii="Arial" w:eastAsia="Arial" w:hAnsi="Arial" w:cs="Arial"/>
          <w:sz w:val="22"/>
          <w:szCs w:val="22"/>
        </w:rPr>
        <w:t>školství mládeže a tělovýchovy</w:t>
      </w:r>
      <w:r w:rsidR="00557F90" w:rsidRPr="00557F90">
        <w:rPr>
          <w:rFonts w:ascii="Arial" w:eastAsia="Arial" w:hAnsi="Arial" w:cs="Arial"/>
          <w:sz w:val="22"/>
          <w:szCs w:val="22"/>
        </w:rPr>
        <w:t xml:space="preserve">, Ministerstvem </w:t>
      </w:r>
      <w:r w:rsidR="00557F90">
        <w:rPr>
          <w:rFonts w:ascii="Arial" w:eastAsia="Arial" w:hAnsi="Arial" w:cs="Arial"/>
          <w:sz w:val="22"/>
          <w:szCs w:val="22"/>
        </w:rPr>
        <w:t xml:space="preserve">průmyslu a obchodu </w:t>
      </w:r>
      <w:r w:rsidR="00557F90" w:rsidRPr="00557F90">
        <w:rPr>
          <w:rFonts w:ascii="Arial" w:eastAsia="Arial" w:hAnsi="Arial" w:cs="Arial"/>
          <w:sz w:val="22"/>
          <w:szCs w:val="22"/>
        </w:rPr>
        <w:t xml:space="preserve">a </w:t>
      </w:r>
      <w:r w:rsidR="00557F90">
        <w:rPr>
          <w:rFonts w:ascii="Arial" w:eastAsia="Arial" w:hAnsi="Arial" w:cs="Arial"/>
          <w:sz w:val="22"/>
          <w:szCs w:val="22"/>
        </w:rPr>
        <w:t xml:space="preserve">dle potřeby také s dalšími </w:t>
      </w:r>
      <w:r w:rsidR="00557F90" w:rsidRPr="00557F90">
        <w:rPr>
          <w:rFonts w:ascii="Arial" w:eastAsia="Arial" w:hAnsi="Arial" w:cs="Arial"/>
          <w:sz w:val="22"/>
          <w:szCs w:val="22"/>
        </w:rPr>
        <w:t xml:space="preserve">poskytovateli podpory VaVaI. Návrhy projektů budou komplexně hodnoceny v souladu se zákonem o podpoře výzkumu, experimentálního vývoje a inovací. </w:t>
      </w:r>
    </w:p>
    <w:p w:rsidR="009C04DF" w:rsidRDefault="00C81E56">
      <w:pPr>
        <w:spacing w:before="240" w:after="120"/>
        <w:jc w:val="both"/>
        <w:rPr>
          <w:rFonts w:ascii="Arial" w:eastAsia="Arial" w:hAnsi="Arial" w:cs="Arial"/>
          <w:b/>
          <w:sz w:val="22"/>
          <w:szCs w:val="22"/>
        </w:rPr>
      </w:pPr>
      <w:r>
        <w:rPr>
          <w:rFonts w:ascii="Arial" w:eastAsia="Arial" w:hAnsi="Arial" w:cs="Arial"/>
          <w:b/>
          <w:sz w:val="22"/>
          <w:szCs w:val="22"/>
        </w:rPr>
        <w:t>Hodnocení řešených projektů</w:t>
      </w:r>
    </w:p>
    <w:p w:rsidR="002B0DF9" w:rsidRDefault="00C81E56" w:rsidP="002B0DF9">
      <w:pPr>
        <w:spacing w:before="120" w:after="120"/>
        <w:jc w:val="both"/>
        <w:rPr>
          <w:rFonts w:ascii="Arial" w:eastAsia="Arial" w:hAnsi="Arial" w:cs="Arial"/>
          <w:sz w:val="22"/>
          <w:szCs w:val="22"/>
        </w:rPr>
      </w:pPr>
      <w:r>
        <w:rPr>
          <w:rFonts w:ascii="Arial" w:eastAsia="Arial" w:hAnsi="Arial" w:cs="Arial"/>
          <w:sz w:val="22"/>
          <w:szCs w:val="22"/>
        </w:rPr>
        <w:t xml:space="preserve">Celková minimální a maximální doba trvání projektů bude stanovena v zadávací dokumentaci k veřejné soutěži. Za účelem zajištění podmínek pro dlouhodobou spolupráci ve VaVaI budou jednotlivé projekty </w:t>
      </w:r>
      <w:r w:rsidR="00F2744A">
        <w:rPr>
          <w:rFonts w:ascii="Arial" w:eastAsia="Arial" w:hAnsi="Arial" w:cs="Arial"/>
          <w:sz w:val="22"/>
          <w:szCs w:val="22"/>
        </w:rPr>
        <w:t>každ</w:t>
      </w:r>
      <w:r w:rsidR="00552ABF">
        <w:rPr>
          <w:rFonts w:ascii="Arial" w:eastAsia="Arial" w:hAnsi="Arial" w:cs="Arial"/>
          <w:sz w:val="22"/>
          <w:szCs w:val="22"/>
        </w:rPr>
        <w:t>ý</w:t>
      </w:r>
      <w:r w:rsidR="00F2744A">
        <w:rPr>
          <w:rFonts w:ascii="Arial" w:eastAsia="Arial" w:hAnsi="Arial" w:cs="Arial"/>
          <w:sz w:val="22"/>
          <w:szCs w:val="22"/>
        </w:rPr>
        <w:t xml:space="preserve"> rok</w:t>
      </w:r>
      <w:r>
        <w:rPr>
          <w:rFonts w:ascii="Arial" w:eastAsia="Arial" w:hAnsi="Arial" w:cs="Arial"/>
          <w:sz w:val="22"/>
          <w:szCs w:val="22"/>
        </w:rPr>
        <w:t xml:space="preserve"> jejich realizace vyhodnoceny</w:t>
      </w:r>
      <w:r w:rsidR="002B0DF9">
        <w:rPr>
          <w:rFonts w:ascii="Arial" w:eastAsia="Arial" w:hAnsi="Arial" w:cs="Arial"/>
          <w:sz w:val="22"/>
          <w:szCs w:val="22"/>
        </w:rPr>
        <w:t xml:space="preserve">, </w:t>
      </w:r>
      <w:r w:rsidR="002B0DF9">
        <w:rPr>
          <w:rFonts w:ascii="Arial" w:hAnsi="Arial" w:cs="Arial"/>
          <w:sz w:val="22"/>
          <w:szCs w:val="22"/>
        </w:rPr>
        <w:t xml:space="preserve">zejména kritéria týkající se financování center z neveřejných prostředků a </w:t>
      </w:r>
      <w:r w:rsidR="00363E99">
        <w:rPr>
          <w:rFonts w:ascii="Arial" w:hAnsi="Arial" w:cs="Arial"/>
          <w:sz w:val="22"/>
          <w:szCs w:val="22"/>
        </w:rPr>
        <w:t xml:space="preserve">poskytovatel </w:t>
      </w:r>
      <w:r w:rsidR="002B0DF9">
        <w:rPr>
          <w:rFonts w:ascii="Arial" w:hAnsi="Arial" w:cs="Arial"/>
          <w:sz w:val="22"/>
          <w:szCs w:val="22"/>
        </w:rPr>
        <w:t>bude oprávněn na základě tohoto vyhodnocení upravit rozpočet daného centra na následující rok.</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 účely poskytnutí podpory na další období budou muset </w:t>
      </w:r>
      <w:r w:rsidR="006F2251">
        <w:rPr>
          <w:rFonts w:ascii="Arial" w:eastAsia="Arial" w:hAnsi="Arial" w:cs="Arial"/>
          <w:sz w:val="22"/>
          <w:szCs w:val="22"/>
        </w:rPr>
        <w:t xml:space="preserve">projekty </w:t>
      </w:r>
      <w:r>
        <w:rPr>
          <w:rFonts w:ascii="Arial" w:eastAsia="Arial" w:hAnsi="Arial" w:cs="Arial"/>
          <w:sz w:val="22"/>
          <w:szCs w:val="22"/>
        </w:rPr>
        <w:t>splnit požadavky stanovené programem a zadávací dokumentací.</w:t>
      </w:r>
    </w:p>
    <w:p w:rsidR="009C04DF" w:rsidRDefault="00C81E56">
      <w:pPr>
        <w:numPr>
          <w:ilvl w:val="0"/>
          <w:numId w:val="3"/>
        </w:numPr>
        <w:spacing w:before="120" w:after="120"/>
        <w:ind w:left="714" w:hanging="357"/>
        <w:jc w:val="both"/>
        <w:rPr>
          <w:sz w:val="22"/>
          <w:szCs w:val="22"/>
        </w:rPr>
      </w:pPr>
      <w:r>
        <w:rPr>
          <w:rFonts w:ascii="Arial" w:eastAsia="Arial" w:hAnsi="Arial" w:cs="Arial"/>
          <w:sz w:val="22"/>
          <w:szCs w:val="22"/>
        </w:rPr>
        <w:t xml:space="preserve">Projekt bude </w:t>
      </w:r>
      <w:r w:rsidR="00730576">
        <w:rPr>
          <w:rFonts w:ascii="Arial" w:eastAsia="Arial" w:hAnsi="Arial" w:cs="Arial"/>
          <w:sz w:val="22"/>
          <w:szCs w:val="22"/>
        </w:rPr>
        <w:t xml:space="preserve">dále </w:t>
      </w:r>
      <w:r>
        <w:rPr>
          <w:rFonts w:ascii="Arial" w:eastAsia="Arial" w:hAnsi="Arial" w:cs="Arial"/>
          <w:sz w:val="22"/>
          <w:szCs w:val="22"/>
        </w:rPr>
        <w:t xml:space="preserve">v průběžném hodnocení, které uskuteční poskytovatel </w:t>
      </w:r>
      <w:r w:rsidR="005C383C">
        <w:rPr>
          <w:rFonts w:ascii="Arial" w:eastAsia="Arial" w:hAnsi="Arial" w:cs="Arial"/>
          <w:sz w:val="22"/>
          <w:szCs w:val="22"/>
        </w:rPr>
        <w:t xml:space="preserve">počátkem třetího </w:t>
      </w:r>
      <w:r>
        <w:rPr>
          <w:rFonts w:ascii="Arial" w:eastAsia="Arial" w:hAnsi="Arial" w:cs="Arial"/>
          <w:sz w:val="22"/>
          <w:szCs w:val="22"/>
        </w:rPr>
        <w:t>roku řešení projektu</w:t>
      </w:r>
      <w:r w:rsidR="00E42255">
        <w:rPr>
          <w:rFonts w:ascii="Arial" w:eastAsia="Arial" w:hAnsi="Arial" w:cs="Arial"/>
          <w:sz w:val="22"/>
          <w:szCs w:val="22"/>
        </w:rPr>
        <w:t xml:space="preserve"> (se zapojením zahraničních hodnotitelů)</w:t>
      </w:r>
      <w:r>
        <w:rPr>
          <w:rFonts w:ascii="Arial" w:eastAsia="Arial" w:hAnsi="Arial" w:cs="Arial"/>
          <w:sz w:val="22"/>
          <w:szCs w:val="22"/>
        </w:rPr>
        <w:t>, hodnocen z hlediska naplnění cílů strategické výzkumné agendy, cílů tohoto programu a splnění dalších podmínek podle § 13 Zákona.</w:t>
      </w:r>
      <w:r w:rsidR="00D36AE4">
        <w:rPr>
          <w:rFonts w:ascii="Arial" w:eastAsia="Arial" w:hAnsi="Arial" w:cs="Arial"/>
          <w:sz w:val="22"/>
          <w:szCs w:val="22"/>
        </w:rPr>
        <w:t xml:space="preserve"> Hodnocen bude posun centra v daném kritériu za dané období.</w:t>
      </w:r>
      <w:r>
        <w:rPr>
          <w:rFonts w:ascii="Arial" w:eastAsia="Arial" w:hAnsi="Arial" w:cs="Arial"/>
          <w:sz w:val="22"/>
          <w:szCs w:val="22"/>
        </w:rPr>
        <w:t xml:space="preserve"> Navrhovaná kritéria hodnocení:</w:t>
      </w:r>
    </w:p>
    <w:p w:rsidR="009C04DF" w:rsidRPr="008606C3" w:rsidRDefault="00C81E56">
      <w:pPr>
        <w:numPr>
          <w:ilvl w:val="1"/>
          <w:numId w:val="3"/>
        </w:numPr>
        <w:spacing w:before="120" w:after="120"/>
        <w:ind w:hanging="360"/>
        <w:jc w:val="both"/>
        <w:rPr>
          <w:sz w:val="22"/>
          <w:szCs w:val="22"/>
        </w:rPr>
      </w:pPr>
      <w:r>
        <w:rPr>
          <w:rFonts w:ascii="Arial" w:eastAsia="Arial" w:hAnsi="Arial" w:cs="Arial"/>
          <w:sz w:val="22"/>
          <w:szCs w:val="22"/>
        </w:rPr>
        <w:t>objem zakázek smluvního výzkumu</w:t>
      </w:r>
      <w:r w:rsidR="0036175A">
        <w:rPr>
          <w:rFonts w:ascii="Arial" w:eastAsia="Arial" w:hAnsi="Arial" w:cs="Arial"/>
          <w:sz w:val="22"/>
          <w:szCs w:val="22"/>
        </w:rPr>
        <w:t xml:space="preserve">, </w:t>
      </w:r>
      <w:r>
        <w:rPr>
          <w:rFonts w:ascii="Arial" w:eastAsia="Arial" w:hAnsi="Arial" w:cs="Arial"/>
          <w:sz w:val="22"/>
          <w:szCs w:val="22"/>
        </w:rPr>
        <w:t>podnikových investic</w:t>
      </w:r>
      <w:r w:rsidR="0036175A">
        <w:rPr>
          <w:rFonts w:ascii="Arial" w:eastAsia="Arial" w:hAnsi="Arial" w:cs="Arial"/>
          <w:sz w:val="22"/>
          <w:szCs w:val="22"/>
        </w:rPr>
        <w:t xml:space="preserve"> a dalších komerčních příjmů daného centra</w:t>
      </w:r>
      <w:r>
        <w:rPr>
          <w:rFonts w:ascii="Arial" w:eastAsia="Arial" w:hAnsi="Arial" w:cs="Arial"/>
          <w:sz w:val="22"/>
          <w:szCs w:val="22"/>
        </w:rPr>
        <w:t>;</w:t>
      </w:r>
    </w:p>
    <w:p w:rsidR="0095286C" w:rsidRDefault="0095286C">
      <w:pPr>
        <w:numPr>
          <w:ilvl w:val="1"/>
          <w:numId w:val="3"/>
        </w:numPr>
        <w:spacing w:before="120" w:after="120"/>
        <w:ind w:hanging="360"/>
        <w:jc w:val="both"/>
        <w:rPr>
          <w:sz w:val="22"/>
          <w:szCs w:val="22"/>
        </w:rPr>
      </w:pPr>
      <w:r>
        <w:rPr>
          <w:rFonts w:ascii="Arial" w:eastAsia="Arial" w:hAnsi="Arial" w:cs="Arial"/>
          <w:sz w:val="22"/>
          <w:szCs w:val="22"/>
        </w:rPr>
        <w:t>objem dotací a dalších zdrojů na realizaci projektů kolaborativního výzkumu (např. z ostatních národních či evropských dotačních programů)</w:t>
      </w:r>
      <w:r w:rsidR="0036175A">
        <w:rPr>
          <w:rFonts w:ascii="Arial" w:eastAsia="Arial" w:hAnsi="Arial" w:cs="Arial"/>
          <w:sz w:val="22"/>
          <w:szCs w:val="22"/>
        </w:rPr>
        <w:t xml:space="preserve"> daného centra</w:t>
      </w:r>
      <w:r>
        <w:rPr>
          <w:rFonts w:ascii="Arial" w:eastAsia="Arial" w:hAnsi="Arial" w:cs="Arial"/>
          <w:sz w:val="22"/>
          <w:szCs w:val="22"/>
        </w:rPr>
        <w:t>;</w:t>
      </w:r>
    </w:p>
    <w:p w:rsidR="0095286C" w:rsidRPr="0095286C" w:rsidRDefault="00363D10" w:rsidP="00363D10">
      <w:pPr>
        <w:numPr>
          <w:ilvl w:val="1"/>
          <w:numId w:val="3"/>
        </w:numPr>
        <w:spacing w:before="120" w:after="120"/>
        <w:ind w:hanging="360"/>
        <w:jc w:val="both"/>
        <w:rPr>
          <w:rFonts w:ascii="Arial" w:eastAsia="Arial" w:hAnsi="Arial" w:cs="Arial"/>
          <w:sz w:val="22"/>
          <w:szCs w:val="22"/>
        </w:rPr>
      </w:pPr>
      <w:r>
        <w:rPr>
          <w:rFonts w:ascii="Arial" w:eastAsia="Arial" w:hAnsi="Arial" w:cs="Arial"/>
          <w:sz w:val="22"/>
          <w:szCs w:val="22"/>
        </w:rPr>
        <w:t>počet spolupracujících subjektů aplikační sféry</w:t>
      </w:r>
      <w:r w:rsidR="00363E99">
        <w:rPr>
          <w:rFonts w:ascii="Arial" w:eastAsia="Arial" w:hAnsi="Arial" w:cs="Arial"/>
          <w:sz w:val="22"/>
          <w:szCs w:val="22"/>
        </w:rPr>
        <w:t xml:space="preserve"> (</w:t>
      </w:r>
      <w:r w:rsidR="0052351E">
        <w:rPr>
          <w:rFonts w:ascii="Arial" w:eastAsia="Arial" w:hAnsi="Arial" w:cs="Arial"/>
          <w:sz w:val="22"/>
          <w:szCs w:val="22"/>
        </w:rPr>
        <w:t>účastníků projektu, tedy</w:t>
      </w:r>
      <w:r w:rsidR="00363E99">
        <w:rPr>
          <w:rFonts w:ascii="Arial" w:eastAsia="Arial" w:hAnsi="Arial" w:cs="Arial"/>
          <w:sz w:val="22"/>
          <w:szCs w:val="22"/>
        </w:rPr>
        <w:t xml:space="preserve"> partnerů)</w:t>
      </w:r>
      <w:r>
        <w:rPr>
          <w:rFonts w:ascii="Arial" w:eastAsia="Arial" w:hAnsi="Arial" w:cs="Arial"/>
          <w:sz w:val="22"/>
          <w:szCs w:val="22"/>
        </w:rPr>
        <w:t xml:space="preserve"> a způsob spolupráce (jasně stanovená pravidla řízení centra)</w:t>
      </w:r>
      <w:r w:rsidR="0036175A">
        <w:rPr>
          <w:rFonts w:ascii="Arial" w:eastAsia="Arial" w:hAnsi="Arial" w:cs="Arial"/>
          <w:sz w:val="22"/>
          <w:szCs w:val="22"/>
        </w:rPr>
        <w:t xml:space="preserve"> daného centra</w:t>
      </w:r>
      <w:r w:rsidR="0095286C">
        <w:rPr>
          <w:rFonts w:ascii="Arial" w:eastAsia="Arial" w:hAnsi="Arial" w:cs="Arial"/>
          <w:sz w:val="22"/>
          <w:szCs w:val="22"/>
        </w:rPr>
        <w:t>;</w:t>
      </w:r>
    </w:p>
    <w:p w:rsidR="00363D10" w:rsidRDefault="0095286C" w:rsidP="00363D10">
      <w:pPr>
        <w:numPr>
          <w:ilvl w:val="1"/>
          <w:numId w:val="3"/>
        </w:numPr>
        <w:spacing w:before="120" w:after="120"/>
        <w:ind w:hanging="360"/>
        <w:jc w:val="both"/>
        <w:rPr>
          <w:sz w:val="22"/>
          <w:szCs w:val="22"/>
        </w:rPr>
      </w:pPr>
      <w:r>
        <w:rPr>
          <w:rFonts w:ascii="Arial" w:eastAsia="Arial" w:hAnsi="Arial" w:cs="Arial"/>
          <w:sz w:val="22"/>
          <w:szCs w:val="22"/>
        </w:rPr>
        <w:t>mezinárodní přesah / spolupráce;</w:t>
      </w:r>
    </w:p>
    <w:p w:rsidR="009C04DF" w:rsidRDefault="000F4054">
      <w:pPr>
        <w:numPr>
          <w:ilvl w:val="1"/>
          <w:numId w:val="3"/>
        </w:numPr>
        <w:spacing w:before="120" w:after="120"/>
        <w:ind w:hanging="360"/>
        <w:jc w:val="both"/>
        <w:rPr>
          <w:sz w:val="22"/>
          <w:szCs w:val="22"/>
        </w:rPr>
      </w:pPr>
      <w:r w:rsidRPr="000F4054">
        <w:rPr>
          <w:rFonts w:ascii="Arial" w:eastAsia="Arial" w:hAnsi="Arial" w:cs="Arial"/>
          <w:sz w:val="22"/>
          <w:szCs w:val="22"/>
        </w:rPr>
        <w:t>počet aplikovaných výsledků uplatněných v praxi a výše příjmů z</w:t>
      </w:r>
      <w:r>
        <w:rPr>
          <w:rFonts w:ascii="Arial" w:eastAsia="Arial" w:hAnsi="Arial" w:cs="Arial"/>
          <w:sz w:val="22"/>
          <w:szCs w:val="22"/>
        </w:rPr>
        <w:t> </w:t>
      </w:r>
      <w:r w:rsidRPr="000F4054">
        <w:rPr>
          <w:rFonts w:ascii="Arial" w:eastAsia="Arial" w:hAnsi="Arial" w:cs="Arial"/>
          <w:sz w:val="22"/>
          <w:szCs w:val="22"/>
        </w:rPr>
        <w:t>nich</w:t>
      </w:r>
      <w:r>
        <w:rPr>
          <w:rFonts w:ascii="Arial" w:eastAsia="Arial" w:hAnsi="Arial" w:cs="Arial"/>
          <w:sz w:val="22"/>
          <w:szCs w:val="22"/>
        </w:rPr>
        <w:t>.</w:t>
      </w:r>
    </w:p>
    <w:p w:rsidR="009C04DF" w:rsidRDefault="00C81E56">
      <w:pPr>
        <w:numPr>
          <w:ilvl w:val="0"/>
          <w:numId w:val="3"/>
        </w:numPr>
        <w:spacing w:before="120" w:after="120"/>
        <w:ind w:left="714" w:hanging="357"/>
        <w:jc w:val="both"/>
        <w:rPr>
          <w:sz w:val="22"/>
          <w:szCs w:val="22"/>
        </w:rPr>
      </w:pPr>
      <w:r>
        <w:rPr>
          <w:rFonts w:ascii="Arial" w:eastAsia="Arial" w:hAnsi="Arial" w:cs="Arial"/>
          <w:sz w:val="22"/>
          <w:szCs w:val="22"/>
        </w:rPr>
        <w:t xml:space="preserve">Příjemce předloží návrh na řešení projektu v dalším období a tento návrh bude </w:t>
      </w:r>
      <w:r>
        <w:rPr>
          <w:rFonts w:ascii="Arial" w:eastAsia="Arial" w:hAnsi="Arial" w:cs="Arial"/>
          <w:sz w:val="22"/>
          <w:szCs w:val="22"/>
        </w:rPr>
        <w:lastRenderedPageBreak/>
        <w:t xml:space="preserve">poskytovatelem kladně hodnocen. Navrhovaná kritéria hodnocení: </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navrhovaný způsob implementace strategické výzkumné agendy;</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aplikační potenciál předpokládaných výsledků VaV;</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přiměřenost nákladů na implementaci strategické výzkumné agendy;</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rozsah a charakter spolupráce uvnitř konsorcia;</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způsob organizačního zajištění činnosti centra;</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celkový rozpočet na řešení projektu včetně míry spolufinancování uchazeči nebo partnery.</w:t>
      </w:r>
    </w:p>
    <w:p w:rsidR="009C04DF" w:rsidRDefault="00C81E56">
      <w:pPr>
        <w:spacing w:before="120" w:after="120"/>
        <w:jc w:val="both"/>
        <w:rPr>
          <w:rFonts w:ascii="Arial" w:eastAsia="Arial" w:hAnsi="Arial" w:cs="Arial"/>
          <w:sz w:val="22"/>
          <w:szCs w:val="22"/>
        </w:rPr>
      </w:pPr>
      <w:bookmarkStart w:id="1" w:name="_gjdgxs" w:colFirst="0" w:colLast="0"/>
      <w:bookmarkEnd w:id="1"/>
      <w:r>
        <w:rPr>
          <w:rFonts w:ascii="Arial" w:eastAsia="Arial" w:hAnsi="Arial" w:cs="Arial"/>
          <w:sz w:val="22"/>
          <w:szCs w:val="22"/>
        </w:rPr>
        <w:t>V případě nesplnění podmínek stanovených ve veřejné soutěži bude ze strany poskytovatele přistoupeno k ukončení projektu</w:t>
      </w:r>
      <w:r w:rsidR="0095286C">
        <w:rPr>
          <w:rFonts w:ascii="Arial" w:eastAsia="Arial" w:hAnsi="Arial" w:cs="Arial"/>
          <w:sz w:val="22"/>
          <w:szCs w:val="22"/>
        </w:rPr>
        <w:t>, a to na základě rozhodnutí Rady programu</w:t>
      </w:r>
      <w:r>
        <w:rPr>
          <w:rFonts w:ascii="Arial" w:eastAsia="Arial" w:hAnsi="Arial" w:cs="Arial"/>
          <w:sz w:val="22"/>
          <w:szCs w:val="22"/>
        </w:rPr>
        <w:t>.</w:t>
      </w:r>
    </w:p>
    <w:p w:rsidR="00584428" w:rsidRDefault="00584428">
      <w:pPr>
        <w:spacing w:before="120" w:after="120"/>
        <w:jc w:val="both"/>
        <w:rPr>
          <w:rFonts w:ascii="Arial" w:eastAsia="Arial" w:hAnsi="Arial" w:cs="Arial"/>
          <w:sz w:val="22"/>
          <w:szCs w:val="22"/>
        </w:rPr>
      </w:pPr>
      <w:r>
        <w:rPr>
          <w:rFonts w:ascii="Arial" w:eastAsia="Arial" w:hAnsi="Arial" w:cs="Arial"/>
          <w:sz w:val="22"/>
          <w:szCs w:val="22"/>
        </w:rPr>
        <w:t xml:space="preserve">Centra podpořená v rámci programu Národní centra kompetence 1, která budou na základě stanovených kritérií vyhodnocena jako úspěšná, budou moci být následně </w:t>
      </w:r>
      <w:r w:rsidR="00693469">
        <w:rPr>
          <w:rFonts w:ascii="Arial" w:eastAsia="Arial" w:hAnsi="Arial" w:cs="Arial"/>
          <w:sz w:val="22"/>
          <w:szCs w:val="22"/>
        </w:rPr>
        <w:t xml:space="preserve">přednostně </w:t>
      </w:r>
      <w:r>
        <w:rPr>
          <w:rFonts w:ascii="Arial" w:eastAsia="Arial" w:hAnsi="Arial" w:cs="Arial"/>
          <w:sz w:val="22"/>
          <w:szCs w:val="22"/>
        </w:rPr>
        <w:t>podpořena v navazujícím programu Národní centra kompetence 2.</w:t>
      </w:r>
    </w:p>
    <w:p w:rsidR="009605AF" w:rsidRDefault="009605AF" w:rsidP="009605AF">
      <w:pPr>
        <w:pStyle w:val="Nadpis1"/>
        <w:numPr>
          <w:ilvl w:val="0"/>
          <w:numId w:val="2"/>
        </w:numPr>
        <w:ind w:hanging="432"/>
        <w:rPr>
          <w:rFonts w:ascii="Arial" w:eastAsia="Arial" w:hAnsi="Arial" w:cs="Arial"/>
        </w:rPr>
      </w:pPr>
      <w:r>
        <w:rPr>
          <w:rFonts w:ascii="Arial" w:eastAsia="Arial" w:hAnsi="Arial" w:cs="Arial"/>
        </w:rPr>
        <w:t>SROVNÁNÍ SE SOUČASNÝM STAVEM V ČESKÉ REPUBLICE A V ZAHRANIČÍ</w:t>
      </w:r>
    </w:p>
    <w:p w:rsidR="001F3F86" w:rsidRPr="001F3F86" w:rsidRDefault="00355F3B" w:rsidP="001F3F86">
      <w:pPr>
        <w:spacing w:before="120" w:after="120"/>
        <w:jc w:val="both"/>
        <w:rPr>
          <w:rFonts w:ascii="Arial" w:eastAsia="Arial" w:hAnsi="Arial" w:cs="Arial"/>
          <w:sz w:val="22"/>
          <w:szCs w:val="22"/>
        </w:rPr>
      </w:pPr>
      <w:r>
        <w:rPr>
          <w:rFonts w:ascii="Arial" w:eastAsia="Arial" w:hAnsi="Arial" w:cs="Arial"/>
          <w:sz w:val="22"/>
          <w:szCs w:val="22"/>
        </w:rPr>
        <w:t>V</w:t>
      </w:r>
      <w:r w:rsidR="001F3F86" w:rsidRPr="001F3F86">
        <w:rPr>
          <w:rFonts w:ascii="Arial" w:eastAsia="Arial" w:hAnsi="Arial" w:cs="Arial"/>
          <w:sz w:val="22"/>
          <w:szCs w:val="22"/>
        </w:rPr>
        <w:t xml:space="preserve"> letech 2007 – 2014 v ČR došlo s využitím zdrojů ze státního rozpočtu ČR </w:t>
      </w:r>
      <w:r>
        <w:rPr>
          <w:rFonts w:ascii="Arial" w:eastAsia="Arial" w:hAnsi="Arial" w:cs="Arial"/>
          <w:sz w:val="22"/>
          <w:szCs w:val="22"/>
        </w:rPr>
        <w:t xml:space="preserve">a zejména pak </w:t>
      </w:r>
      <w:r w:rsidR="001F3F86" w:rsidRPr="001F3F86">
        <w:rPr>
          <w:rFonts w:ascii="Arial" w:eastAsia="Arial" w:hAnsi="Arial" w:cs="Arial"/>
          <w:sz w:val="22"/>
          <w:szCs w:val="22"/>
        </w:rPr>
        <w:t xml:space="preserve">finančních prostředků </w:t>
      </w:r>
      <w:r>
        <w:rPr>
          <w:rFonts w:ascii="Arial" w:eastAsia="Arial" w:hAnsi="Arial" w:cs="Arial"/>
          <w:sz w:val="22"/>
          <w:szCs w:val="22"/>
        </w:rPr>
        <w:t xml:space="preserve">strukturálních fondů </w:t>
      </w:r>
      <w:r w:rsidR="001F3F86" w:rsidRPr="001F3F86">
        <w:rPr>
          <w:rFonts w:ascii="Arial" w:eastAsia="Arial" w:hAnsi="Arial" w:cs="Arial"/>
          <w:sz w:val="22"/>
          <w:szCs w:val="22"/>
        </w:rPr>
        <w:t>EU k výraznému rozšíření výzkumné základny. V programu TA ČR Centra kompetence byl podpořen vznik a činnost 34 aplikačně zaměřených výzkumných center, v nichž působí instituce veřejného výzkumu i subjekty z podnikatelského sektoru.</w:t>
      </w:r>
      <w:r w:rsidR="00783AB7">
        <w:rPr>
          <w:rFonts w:ascii="Arial" w:eastAsia="Arial" w:hAnsi="Arial" w:cs="Arial"/>
          <w:sz w:val="22"/>
          <w:szCs w:val="22"/>
        </w:rPr>
        <w:t xml:space="preserve"> Průběžné hodnocení programu Centra kompetence</w:t>
      </w:r>
      <w:r w:rsidR="006833D3">
        <w:rPr>
          <w:rFonts w:ascii="Arial" w:eastAsia="Arial" w:hAnsi="Arial" w:cs="Arial"/>
          <w:sz w:val="22"/>
          <w:szCs w:val="22"/>
        </w:rPr>
        <w:t>, které je jedním z podkladů pro tento program,</w:t>
      </w:r>
      <w:r w:rsidR="00783AB7">
        <w:rPr>
          <w:rFonts w:ascii="Arial" w:eastAsia="Arial" w:hAnsi="Arial" w:cs="Arial"/>
          <w:sz w:val="22"/>
          <w:szCs w:val="22"/>
        </w:rPr>
        <w:t xml:space="preserve"> bylo provedeno v roce </w:t>
      </w:r>
      <w:r w:rsidR="00AC62F7">
        <w:rPr>
          <w:rFonts w:ascii="Arial" w:eastAsia="Arial" w:hAnsi="Arial" w:cs="Arial"/>
          <w:sz w:val="22"/>
          <w:szCs w:val="22"/>
        </w:rPr>
        <w:t>2015 a následně bylo zveřejněno na webových stránkách</w:t>
      </w:r>
      <w:r w:rsidR="00783AB7">
        <w:rPr>
          <w:rFonts w:ascii="Arial" w:eastAsia="Arial" w:hAnsi="Arial" w:cs="Arial"/>
          <w:sz w:val="22"/>
          <w:szCs w:val="22"/>
        </w:rPr>
        <w:t xml:space="preserve"> TA ČR. Dále bylo v</w:t>
      </w:r>
      <w:r w:rsidR="001F3F86" w:rsidRPr="001F3F86">
        <w:rPr>
          <w:rFonts w:ascii="Arial" w:eastAsia="Arial" w:hAnsi="Arial" w:cs="Arial"/>
          <w:sz w:val="22"/>
          <w:szCs w:val="22"/>
        </w:rPr>
        <w:t xml:space="preserve"> rámci OP VaVpI podpořeno 48 projektů evropských center excelence a regionálních VaV center, která realizují jak základní výzkum na hranicích současného poznání, tak i aplikovaný výzkum s využitím v aplikacích. V ČR také působí několik desítek infrastrukturních zařízení, která disponují kvalitním výzkumným vybavením (často v evropském měřítku unikátním), která mohou být využívána dalšími pracovišti. K posílení </w:t>
      </w:r>
      <w:r>
        <w:rPr>
          <w:rFonts w:ascii="Arial" w:eastAsia="Arial" w:hAnsi="Arial" w:cs="Arial"/>
          <w:sz w:val="22"/>
          <w:szCs w:val="22"/>
        </w:rPr>
        <w:t>výzkumných kapacit přispěla i Grantová agentura ČR, která</w:t>
      </w:r>
      <w:r w:rsidR="001F3F86" w:rsidRPr="001F3F86">
        <w:rPr>
          <w:rFonts w:ascii="Arial" w:eastAsia="Arial" w:hAnsi="Arial" w:cs="Arial"/>
          <w:sz w:val="22"/>
          <w:szCs w:val="22"/>
        </w:rPr>
        <w:t xml:space="preserve"> v letech 2011 a 2013 podpořila projekty na podporu excelence v základním výzkumu, kde je realizován špičkový multidisciplinárn</w:t>
      </w:r>
      <w:r>
        <w:rPr>
          <w:rFonts w:ascii="Arial" w:eastAsia="Arial" w:hAnsi="Arial" w:cs="Arial"/>
          <w:sz w:val="22"/>
          <w:szCs w:val="22"/>
        </w:rPr>
        <w:t>í základní výzkum</w:t>
      </w:r>
      <w:r w:rsidR="001F3F86" w:rsidRPr="001F3F86">
        <w:rPr>
          <w:rFonts w:ascii="Arial" w:eastAsia="Arial" w:hAnsi="Arial" w:cs="Arial"/>
          <w:sz w:val="22"/>
          <w:szCs w:val="22"/>
        </w:rPr>
        <w:t xml:space="preserve">. </w:t>
      </w:r>
    </w:p>
    <w:p w:rsidR="001F3F86" w:rsidRPr="001F3F86" w:rsidRDefault="001F3F86" w:rsidP="001F3F86">
      <w:pPr>
        <w:spacing w:before="120" w:after="120"/>
        <w:jc w:val="both"/>
        <w:rPr>
          <w:rFonts w:ascii="Arial" w:eastAsia="Arial" w:hAnsi="Arial" w:cs="Arial"/>
          <w:sz w:val="22"/>
          <w:szCs w:val="22"/>
        </w:rPr>
      </w:pPr>
      <w:r w:rsidRPr="001F3F86">
        <w:rPr>
          <w:rFonts w:ascii="Arial" w:eastAsia="Arial" w:hAnsi="Arial" w:cs="Arial"/>
          <w:sz w:val="22"/>
          <w:szCs w:val="22"/>
        </w:rPr>
        <w:t xml:space="preserve">Stávající systém VaV center a infrastruktury je </w:t>
      </w:r>
      <w:r w:rsidR="00355F3B">
        <w:rPr>
          <w:rFonts w:ascii="Arial" w:eastAsia="Arial" w:hAnsi="Arial" w:cs="Arial"/>
          <w:sz w:val="22"/>
          <w:szCs w:val="22"/>
        </w:rPr>
        <w:t xml:space="preserve">stále </w:t>
      </w:r>
      <w:r w:rsidRPr="001F3F86">
        <w:rPr>
          <w:rFonts w:ascii="Arial" w:eastAsia="Arial" w:hAnsi="Arial" w:cs="Arial"/>
          <w:sz w:val="22"/>
          <w:szCs w:val="22"/>
        </w:rPr>
        <w:t xml:space="preserve">fragmentován. Centra působí odděleně a často nedisponují kritickou velikostí, experimentálním vybavením a zkušenostmi umožňujícími realizaci náročných a rozsáhlých projektů VaVaI, které vyžadují multidisciplinární výzkum. V současné době také neexistuje žádný mechanismus, který by zajistil koordinaci jejich aktivit a stimuloval realizaci náročnějších a strategicky zaměřených projektů VaVaI s větším dopadem na rozvoj mezinárodní konkurenceschopnosti ČR. </w:t>
      </w:r>
    </w:p>
    <w:p w:rsidR="001F3F86" w:rsidRDefault="001F3F86" w:rsidP="001F3F86">
      <w:pPr>
        <w:spacing w:before="120" w:after="120"/>
        <w:jc w:val="both"/>
        <w:rPr>
          <w:rFonts w:ascii="Arial" w:eastAsia="Arial" w:hAnsi="Arial" w:cs="Arial"/>
          <w:sz w:val="22"/>
          <w:szCs w:val="22"/>
        </w:rPr>
      </w:pPr>
      <w:r w:rsidRPr="001F3F86">
        <w:rPr>
          <w:rFonts w:ascii="Arial" w:eastAsia="Arial" w:hAnsi="Arial" w:cs="Arial"/>
          <w:sz w:val="22"/>
          <w:szCs w:val="22"/>
        </w:rPr>
        <w:t xml:space="preserve">Také se ukazuje, že některá centra dosud nemají vytvořené dostatečné vazby na aplikační sektor, řada aplikačně zaměřených center nemá strategické partnery, se kterými by mohly spolupracovat v dlouhodobějších a rozsáhlejších projektech VaVaI. To se odráží v malém objemu smluvního výzkumu a řešení zakázek omezeného rozsahu (finančně i dopadem). Z průběžného vyhodnocení OP VaVpI také vyplývá, že příjmy nově vytvořených center ze smluvního VaV jsou </w:t>
      </w:r>
      <w:r>
        <w:rPr>
          <w:rFonts w:ascii="Arial" w:eastAsia="Arial" w:hAnsi="Arial" w:cs="Arial"/>
          <w:sz w:val="22"/>
          <w:szCs w:val="22"/>
        </w:rPr>
        <w:t xml:space="preserve">nižší, než se očekávalo, což může mít dopady na udržitelnost těchto </w:t>
      </w:r>
      <w:r w:rsidR="00355F3B">
        <w:rPr>
          <w:rFonts w:ascii="Arial" w:eastAsia="Arial" w:hAnsi="Arial" w:cs="Arial"/>
          <w:sz w:val="22"/>
          <w:szCs w:val="22"/>
        </w:rPr>
        <w:t>výzkumných infrastruktur</w:t>
      </w:r>
      <w:r>
        <w:rPr>
          <w:rFonts w:ascii="Arial" w:eastAsia="Arial" w:hAnsi="Arial" w:cs="Arial"/>
          <w:sz w:val="22"/>
          <w:szCs w:val="22"/>
        </w:rPr>
        <w:t>.</w:t>
      </w:r>
    </w:p>
    <w:p w:rsidR="009C04DF" w:rsidRDefault="00A90925" w:rsidP="001F3F86">
      <w:pPr>
        <w:spacing w:before="120" w:after="120"/>
        <w:jc w:val="both"/>
        <w:rPr>
          <w:rFonts w:ascii="Arial" w:eastAsia="Arial" w:hAnsi="Arial" w:cs="Arial"/>
          <w:sz w:val="22"/>
          <w:szCs w:val="22"/>
        </w:rPr>
      </w:pPr>
      <w:r>
        <w:rPr>
          <w:rFonts w:ascii="Arial" w:eastAsia="Arial" w:hAnsi="Arial" w:cs="Arial"/>
          <w:sz w:val="22"/>
          <w:szCs w:val="22"/>
        </w:rPr>
        <w:t>Jak uvádí NP VaVaI 2016-2020</w:t>
      </w:r>
      <w:r w:rsidR="00710990" w:rsidRPr="00710990">
        <w:rPr>
          <w:rFonts w:ascii="Arial" w:eastAsia="Arial" w:hAnsi="Arial" w:cs="Arial"/>
          <w:sz w:val="22"/>
          <w:szCs w:val="22"/>
        </w:rPr>
        <w:t xml:space="preserve">, v oblasti aplikovaného výzkumu, transferu znalostí a využívání nových poznatků výzkumu a vývoje zůstává řada slabých míst. Významným problémem současného systému VaVaI je především nedostatečně rozvinutá základna aplikovaného výzkumu, což souvisí s likvidací základny aplikovaného výzkumu v 90. letech. V České republice zatím chybí větší zastoupení výzkumných organizací, jejichž primární </w:t>
      </w:r>
      <w:r w:rsidR="00710990" w:rsidRPr="00710990">
        <w:rPr>
          <w:rFonts w:ascii="Arial" w:eastAsia="Arial" w:hAnsi="Arial" w:cs="Arial"/>
          <w:sz w:val="22"/>
          <w:szCs w:val="22"/>
        </w:rPr>
        <w:lastRenderedPageBreak/>
        <w:t xml:space="preserve">činností by byla realizace výzkumu a vývoje pro potřeby aplikačního sektoru a kde by vznikaly výsledky s vysokým potenciálem pro uplatnění v inovacích, o čemž mj. svědčí nízký počet mezinárodních patentových přihlášek podaných výzkumnými organizacemi i podniky z České republiky.  </w:t>
      </w:r>
    </w:p>
    <w:p w:rsidR="00A90925" w:rsidRDefault="00A90925" w:rsidP="00A90925">
      <w:pPr>
        <w:spacing w:before="120" w:after="120"/>
        <w:jc w:val="both"/>
        <w:rPr>
          <w:rFonts w:ascii="Arial" w:eastAsia="Arial" w:hAnsi="Arial" w:cs="Arial"/>
          <w:sz w:val="22"/>
          <w:szCs w:val="22"/>
        </w:rPr>
      </w:pPr>
      <w:r>
        <w:rPr>
          <w:rFonts w:ascii="Arial" w:eastAsia="Arial" w:hAnsi="Arial" w:cs="Arial"/>
          <w:sz w:val="22"/>
          <w:szCs w:val="22"/>
        </w:rPr>
        <w:t>Proto je i dle NP VaVaI nezbytné o</w:t>
      </w:r>
      <w:r w:rsidRPr="00A90925">
        <w:rPr>
          <w:rFonts w:ascii="Arial" w:eastAsia="Arial" w:hAnsi="Arial" w:cs="Arial"/>
          <w:sz w:val="22"/>
          <w:szCs w:val="22"/>
        </w:rPr>
        <w:t>bnovit institucionální základnu aplikovaného výzkumu. Pro zkvalitnění aplikovaného výzkumu a zvýšení jeho dopadů pro aplikační sektor a společnost je zapotřebí vhodným způsobem transformovat část výzkumných kapacit České republiky na kvalitní pracoviště aplikovaného výzkumu, která budou intenzivně spolupracovat s aplikačním sektorem a kde bu</w:t>
      </w:r>
      <w:r>
        <w:rPr>
          <w:rFonts w:ascii="Arial" w:eastAsia="Arial" w:hAnsi="Arial" w:cs="Arial"/>
          <w:sz w:val="22"/>
          <w:szCs w:val="22"/>
        </w:rPr>
        <w:t xml:space="preserve">dou vznikat poznatky s vysokým </w:t>
      </w:r>
      <w:r w:rsidRPr="00A90925">
        <w:rPr>
          <w:rFonts w:ascii="Arial" w:eastAsia="Arial" w:hAnsi="Arial" w:cs="Arial"/>
          <w:sz w:val="22"/>
          <w:szCs w:val="22"/>
        </w:rPr>
        <w:t>potenciálem pro přímé uplatnění v inovacích (a pro které budou příjmy z aplikačního sektoru tvořit významnou část jejich rozpočtu na výzkum a vývoj).</w:t>
      </w:r>
    </w:p>
    <w:p w:rsidR="00A90925" w:rsidRPr="00A90925" w:rsidRDefault="00A90925" w:rsidP="00A90925">
      <w:pPr>
        <w:spacing w:before="120" w:after="120"/>
        <w:jc w:val="both"/>
        <w:rPr>
          <w:rFonts w:ascii="Arial" w:eastAsia="Arial" w:hAnsi="Arial" w:cs="Arial"/>
          <w:sz w:val="22"/>
          <w:szCs w:val="22"/>
        </w:rPr>
      </w:pPr>
      <w:r>
        <w:rPr>
          <w:rFonts w:ascii="Arial" w:eastAsia="Arial" w:hAnsi="Arial" w:cs="Arial"/>
          <w:sz w:val="22"/>
          <w:szCs w:val="22"/>
        </w:rPr>
        <w:t>Konkrétně pak s</w:t>
      </w:r>
      <w:r w:rsidRPr="00A90925">
        <w:rPr>
          <w:rFonts w:ascii="Arial" w:eastAsia="Arial" w:hAnsi="Arial" w:cs="Arial"/>
          <w:sz w:val="22"/>
          <w:szCs w:val="22"/>
        </w:rPr>
        <w:t xml:space="preserve">pecifickým cílem 3.1 </w:t>
      </w:r>
      <w:r>
        <w:rPr>
          <w:rFonts w:ascii="Arial" w:eastAsia="Arial" w:hAnsi="Arial" w:cs="Arial"/>
          <w:sz w:val="22"/>
          <w:szCs w:val="22"/>
        </w:rPr>
        <w:t xml:space="preserve">NP VaVaI </w:t>
      </w:r>
      <w:r w:rsidRPr="00A90925">
        <w:rPr>
          <w:rFonts w:ascii="Arial" w:eastAsia="Arial" w:hAnsi="Arial" w:cs="Arial"/>
          <w:sz w:val="22"/>
          <w:szCs w:val="22"/>
        </w:rPr>
        <w:t xml:space="preserve">je posílit institucionální základnu aplikovaného výzkumu. Na tento cíl reaguje zejména opatření č. 16 Vytvořit podmínky pro vznik center aplikovaného výzkumu, v jehož rámci by měly být vytvořeny mechanismy a postupy, s jejichž využitím budou některá výzkumná pracoviště, včetně výzkumných center podpořených z Operačního programu Výzkum a vývoj pro inovace (OP VaVpI) i dalších programů, motivována k transformaci na výzkumně a technologicky zaměřená centra, jejichž hlavním posláním těchto bude aplikovaný VaV pro potřeby podniků a společnosti. Tato centra budou podle NP VaVaI  intenzivně spolupracovat s aplikačním sektorem a získávat významnou část svých příjmů ze smluvního výzkumu. Zároveň budou v souladu s opatřením č. 17 zlepšeny podmínky pro šíření znalostí z VO a stimulována jejich spolupráci s aplikačním sektorem. </w:t>
      </w:r>
    </w:p>
    <w:p w:rsidR="00A90925" w:rsidRPr="00A90925" w:rsidRDefault="00A90925" w:rsidP="00A90925">
      <w:pPr>
        <w:spacing w:before="120" w:after="120"/>
        <w:jc w:val="both"/>
        <w:rPr>
          <w:rFonts w:ascii="Arial" w:eastAsia="Arial" w:hAnsi="Arial" w:cs="Arial"/>
          <w:sz w:val="22"/>
          <w:szCs w:val="22"/>
        </w:rPr>
      </w:pPr>
      <w:r w:rsidRPr="00A90925">
        <w:rPr>
          <w:rFonts w:ascii="Arial" w:eastAsia="Arial" w:hAnsi="Arial" w:cs="Arial"/>
          <w:sz w:val="22"/>
          <w:szCs w:val="22"/>
        </w:rPr>
        <w:t>Strategický cílem 4 NP VaVaI je zvýšit inovační výkonnost podniků v ČR posílením výzkumných aktivit a zaváděním nových technologií a postupů směřujících k zefektivnění podnikových procesů. Součástí cíle 4.1 Posílit výzkumné a inovační aktivity podniků je i stimulace podniků k zahájení vlastních aktivit VaV i k rozvoji jejich spolupráce s VO, což by mělo přispět i ke zvýšení schopnosti podniků absorbovat výsledky VaV realizovaného v těchto institucích. Tato oblast je řešena opatřením č. 18 Stimulovat podniky k zahájení a roz</w:t>
      </w:r>
      <w:r>
        <w:rPr>
          <w:rFonts w:ascii="Arial" w:eastAsia="Arial" w:hAnsi="Arial" w:cs="Arial"/>
          <w:sz w:val="22"/>
          <w:szCs w:val="22"/>
        </w:rPr>
        <w:t xml:space="preserve">voji aktivit výzkumu a vývoje. </w:t>
      </w:r>
    </w:p>
    <w:p w:rsidR="00A90925" w:rsidRPr="00A90925" w:rsidRDefault="00A90925" w:rsidP="00A90925">
      <w:pPr>
        <w:spacing w:before="120" w:after="120"/>
        <w:jc w:val="both"/>
        <w:rPr>
          <w:rFonts w:ascii="Arial" w:eastAsia="Arial" w:hAnsi="Arial" w:cs="Arial"/>
          <w:sz w:val="22"/>
          <w:szCs w:val="22"/>
        </w:rPr>
      </w:pPr>
      <w:r w:rsidRPr="00A90925">
        <w:rPr>
          <w:rFonts w:ascii="Arial" w:eastAsia="Arial" w:hAnsi="Arial" w:cs="Arial"/>
          <w:sz w:val="22"/>
          <w:szCs w:val="22"/>
        </w:rPr>
        <w:t xml:space="preserve">V souladu se strategickým cílem 5 je nezbytné i strategické zacílení podpory aplikovaného výzkumu na aktuální a potenciální budoucí potřeby podniků a společnosti. V těchto souvislostech musí být posílena účast podniků, VO, státní správy i občanského sektoru při identifikaci těchto potřeb i při nastavení nástrojů cílené podpory výzkumu reagujícího na tyto potřeby (specifický cíl 5.1). V opatření č. 25 Vytvořit a implementovat principy pro stanovení hlavních směrů aplikovaného výzkumu a přípravu navazujících programů VaVaI je v těchto souvislostech stanoveno, že musí být nastaven operativní proces, kde budou vyžívány prvky strategické inteligence, jako je hodnocení, konzultace s odbornými platformami, analýzy trendů a výhledy, pro identifikaci hlavních směrů aplikovaného výzkumu a pro přípravu či úpravu existujících programů VaVaI, které budou tyto hlavní směry aplikovaného výzkumu podporovat. </w:t>
      </w:r>
    </w:p>
    <w:p w:rsidR="00A90925" w:rsidRDefault="00A90925" w:rsidP="00A90925">
      <w:pPr>
        <w:spacing w:before="120" w:after="120"/>
        <w:jc w:val="both"/>
        <w:rPr>
          <w:rFonts w:ascii="Arial" w:eastAsia="Arial" w:hAnsi="Arial" w:cs="Arial"/>
          <w:sz w:val="22"/>
          <w:szCs w:val="22"/>
        </w:rPr>
      </w:pPr>
      <w:r w:rsidRPr="00A90925">
        <w:rPr>
          <w:rFonts w:ascii="Arial" w:eastAsia="Arial" w:hAnsi="Arial" w:cs="Arial"/>
          <w:sz w:val="22"/>
          <w:szCs w:val="22"/>
        </w:rPr>
        <w:t>Specifickým cílem 5.2 je vytvoření koncepce podpory aplikovaného výzkumu, který bude navázán na identifikované potřeby společnosti a aplikační sféry a který bude stimulovat rozvoj strategické a dlouhodobé spolupráce mezi firmami, VO, státní správou i občanským sektorem. V rámci opatření č. 28 budou stanoveny hlavní směry podpory aplikovaného výzkumu, které budou podporovány prostřednictvím koordinovaného systému nástrojů (opatření č. 29). Zároveň budou stanoveny konkrétní milníky a cíle, jejichž plnění bude vyhodnocováno. Ve všech nástrojích na podporu aplikovaného výzkumu by v souladu s NP VaVaI měla být podporována dlouhodobá a strategicky orientovaná spolupráce mezi podniky VO, která umožní vývoj produktů s vysokou přidanou hodnotou.</w:t>
      </w:r>
    </w:p>
    <w:p w:rsidR="00A90925" w:rsidRDefault="00355F3B" w:rsidP="00A90925">
      <w:pPr>
        <w:spacing w:before="120" w:after="120"/>
        <w:jc w:val="both"/>
        <w:rPr>
          <w:rFonts w:ascii="Arial" w:eastAsia="Arial" w:hAnsi="Arial" w:cs="Arial"/>
          <w:sz w:val="22"/>
          <w:szCs w:val="22"/>
        </w:rPr>
      </w:pPr>
      <w:r>
        <w:rPr>
          <w:rFonts w:ascii="Arial" w:eastAsia="Arial" w:hAnsi="Arial" w:cs="Arial"/>
          <w:sz w:val="22"/>
          <w:szCs w:val="22"/>
        </w:rPr>
        <w:t xml:space="preserve">Zahraniční zkušenosti v této oblasti podpory tzv. center kompetence projednává Technologická agentura ČR dlouhodobě zejména v rámci sítě evropských inovačních </w:t>
      </w:r>
      <w:r>
        <w:rPr>
          <w:rFonts w:ascii="Arial" w:eastAsia="Arial" w:hAnsi="Arial" w:cs="Arial"/>
          <w:sz w:val="22"/>
          <w:szCs w:val="22"/>
        </w:rPr>
        <w:lastRenderedPageBreak/>
        <w:t xml:space="preserve">agentur TAFTIE. Zejména se jednalo o projekt (Task Force) CompAct, který zhodnotil principy a výstupy </w:t>
      </w:r>
      <w:r w:rsidR="00135985">
        <w:rPr>
          <w:rFonts w:ascii="Arial" w:eastAsia="Arial" w:hAnsi="Arial" w:cs="Arial"/>
          <w:sz w:val="22"/>
          <w:szCs w:val="22"/>
        </w:rPr>
        <w:t>programů na podporu center kompetence v rámci většiny evropských zem. Finální zpráva z tohoto projektu byla publikována v květnu 2016 a je dostupná na webu TAFTIE (</w:t>
      </w:r>
      <w:hyperlink r:id="rId8" w:history="1">
        <w:r w:rsidR="00135985" w:rsidRPr="00A74EE9">
          <w:rPr>
            <w:rStyle w:val="Hypertextovodkaz"/>
            <w:rFonts w:ascii="Arial" w:eastAsia="Arial" w:hAnsi="Arial" w:cs="Arial"/>
            <w:sz w:val="22"/>
            <w:szCs w:val="22"/>
          </w:rPr>
          <w:t>http://www.taftie.org/sites/default/files/Taftie_TF_CompAct_Final_Report%20_LV.pdf</w:t>
        </w:r>
      </w:hyperlink>
      <w:r w:rsidR="00135985">
        <w:rPr>
          <w:rFonts w:ascii="Arial" w:eastAsia="Arial" w:hAnsi="Arial" w:cs="Arial"/>
          <w:sz w:val="22"/>
          <w:szCs w:val="22"/>
        </w:rPr>
        <w:t>).</w:t>
      </w:r>
      <w:r w:rsidR="00BB3E53">
        <w:rPr>
          <w:rFonts w:ascii="Arial" w:eastAsia="Arial" w:hAnsi="Arial" w:cs="Arial"/>
          <w:sz w:val="22"/>
          <w:szCs w:val="22"/>
        </w:rPr>
        <w:t xml:space="preserve"> P</w:t>
      </w:r>
      <w:r>
        <w:rPr>
          <w:rFonts w:ascii="Arial" w:eastAsia="Arial" w:hAnsi="Arial" w:cs="Arial"/>
          <w:sz w:val="22"/>
          <w:szCs w:val="22"/>
        </w:rPr>
        <w:t>rogramy na podporu tzv. center kompetence</w:t>
      </w:r>
      <w:r w:rsidRPr="00355F3B">
        <w:rPr>
          <w:rFonts w:ascii="Arial" w:eastAsia="Arial" w:hAnsi="Arial" w:cs="Arial"/>
          <w:sz w:val="22"/>
          <w:szCs w:val="22"/>
        </w:rPr>
        <w:t xml:space="preserve"> se zaměřují na rozvoj aplikovaného VaV. Podporují dlouhodobou multilaterální spolupráci výzkumných organizací s podniky s cílem generování znalostí, které zvýší inovační výkonnost a konkurenceschopnost podnikového sektoru. CK jsou chápána jako významný nástroj národní inovační politiky, který zvyšuje technologickou vyspělost a inovativnost podniků (včetně jejich konkurenceschopnosti) a současně přispívá ke strukturálním změnám ekonomik a zvyšování jejich globální konkurenceschopnosti.</w:t>
      </w:r>
    </w:p>
    <w:p w:rsidR="00710990" w:rsidRPr="00710990" w:rsidRDefault="00A90925" w:rsidP="00710990">
      <w:pPr>
        <w:spacing w:before="120" w:after="120"/>
        <w:jc w:val="both"/>
        <w:rPr>
          <w:rFonts w:ascii="Arial" w:eastAsia="Arial" w:hAnsi="Arial" w:cs="Arial"/>
          <w:sz w:val="22"/>
          <w:szCs w:val="22"/>
        </w:rPr>
      </w:pPr>
      <w:r>
        <w:rPr>
          <w:rFonts w:ascii="Arial" w:eastAsia="Arial" w:hAnsi="Arial" w:cs="Arial"/>
          <w:sz w:val="22"/>
          <w:szCs w:val="22"/>
        </w:rPr>
        <w:t xml:space="preserve">Specifickým příkladem účinné podpory výzkumu </w:t>
      </w:r>
      <w:r w:rsidR="00BB3E53">
        <w:rPr>
          <w:rFonts w:ascii="Arial" w:eastAsia="Arial" w:hAnsi="Arial" w:cs="Arial"/>
          <w:sz w:val="22"/>
          <w:szCs w:val="22"/>
        </w:rPr>
        <w:t xml:space="preserve">silně </w:t>
      </w:r>
      <w:r>
        <w:rPr>
          <w:rFonts w:ascii="Arial" w:eastAsia="Arial" w:hAnsi="Arial" w:cs="Arial"/>
          <w:sz w:val="22"/>
          <w:szCs w:val="22"/>
        </w:rPr>
        <w:t xml:space="preserve">orientovaného na </w:t>
      </w:r>
      <w:r w:rsidR="00C74F74">
        <w:rPr>
          <w:rFonts w:ascii="Arial" w:eastAsia="Arial" w:hAnsi="Arial" w:cs="Arial"/>
          <w:sz w:val="22"/>
          <w:szCs w:val="22"/>
        </w:rPr>
        <w:t>uplatnění výsledů v praxi je německý model Fraunhoferových společnosti, která se skládá ze systému tzv. Fraunhoferoých institutů.</w:t>
      </w:r>
      <w:r w:rsidR="00135985">
        <w:rPr>
          <w:rFonts w:ascii="Arial" w:eastAsia="Arial" w:hAnsi="Arial" w:cs="Arial"/>
          <w:sz w:val="22"/>
          <w:szCs w:val="22"/>
        </w:rPr>
        <w:t xml:space="preserve"> TA ČR také dlouhodobě se zástupci Fraunhoferovy společnosti komunikuje a diskutuje parametry nastavení tohoto modelu.</w:t>
      </w:r>
      <w:r w:rsidR="00C74F74">
        <w:rPr>
          <w:rFonts w:ascii="Arial" w:eastAsia="Arial" w:hAnsi="Arial" w:cs="Arial"/>
          <w:sz w:val="22"/>
          <w:szCs w:val="22"/>
        </w:rPr>
        <w:t xml:space="preserve"> </w:t>
      </w:r>
      <w:r w:rsidR="00710990" w:rsidRPr="00710990">
        <w:rPr>
          <w:rFonts w:ascii="Arial" w:eastAsia="Arial" w:hAnsi="Arial" w:cs="Arial"/>
          <w:sz w:val="22"/>
          <w:szCs w:val="22"/>
        </w:rPr>
        <w:t>Fraunhoferova společnost je společnost veřejného práva zřízená státem. Není obdobou obchodních společností tak, jak je známe v čes</w:t>
      </w:r>
      <w:r w:rsidR="00C74F74">
        <w:rPr>
          <w:rFonts w:ascii="Arial" w:eastAsia="Arial" w:hAnsi="Arial" w:cs="Arial"/>
          <w:sz w:val="22"/>
          <w:szCs w:val="22"/>
        </w:rPr>
        <w:t xml:space="preserve">kém právním prostředí. </w:t>
      </w:r>
      <w:r w:rsidR="00710990" w:rsidRPr="00710990">
        <w:rPr>
          <w:rFonts w:ascii="Arial" w:eastAsia="Arial" w:hAnsi="Arial" w:cs="Arial"/>
          <w:sz w:val="22"/>
          <w:szCs w:val="22"/>
        </w:rPr>
        <w:t xml:space="preserve">Fraunhoferova společnost </w:t>
      </w:r>
      <w:r w:rsidR="00C74F74">
        <w:rPr>
          <w:rFonts w:ascii="Arial" w:eastAsia="Arial" w:hAnsi="Arial" w:cs="Arial"/>
          <w:sz w:val="22"/>
          <w:szCs w:val="22"/>
        </w:rPr>
        <w:t xml:space="preserve">představuje </w:t>
      </w:r>
      <w:r w:rsidR="00710990" w:rsidRPr="00710990">
        <w:rPr>
          <w:rFonts w:ascii="Arial" w:eastAsia="Arial" w:hAnsi="Arial" w:cs="Arial"/>
          <w:sz w:val="22"/>
          <w:szCs w:val="22"/>
        </w:rPr>
        <w:t xml:space="preserve">zastřešující entitu, na kterou jsou napojeny smluvním vztahem Fraunhoferovy instituty (přijetí na žádost institutů). Tyto instituty se zaměřují na konkrétní oblasti výzkumu a vývoje, a vznikají a zanikají dle potřeb a výkonů v daném segmentu.  </w:t>
      </w:r>
    </w:p>
    <w:p w:rsidR="009605AF" w:rsidRDefault="00710990" w:rsidP="00710990">
      <w:pPr>
        <w:spacing w:before="120" w:after="120"/>
        <w:jc w:val="both"/>
        <w:rPr>
          <w:rFonts w:ascii="Arial" w:eastAsia="Arial" w:hAnsi="Arial" w:cs="Arial"/>
          <w:sz w:val="22"/>
          <w:szCs w:val="22"/>
        </w:rPr>
      </w:pPr>
      <w:r w:rsidRPr="00710990">
        <w:rPr>
          <w:rFonts w:ascii="Arial" w:eastAsia="Arial" w:hAnsi="Arial" w:cs="Arial"/>
          <w:sz w:val="22"/>
          <w:szCs w:val="22"/>
        </w:rPr>
        <w:t xml:space="preserve">Stěžejním aspektem je model financování, kdy přibližně 70 % finančních prostředků pochází z vlastní činnosti institutů, a 30 % je jim rozdělováno na základě dosahovaných výsledků </w:t>
      </w:r>
      <w:r w:rsidR="00C74F74">
        <w:rPr>
          <w:rFonts w:ascii="Arial" w:eastAsia="Arial" w:hAnsi="Arial" w:cs="Arial"/>
          <w:sz w:val="22"/>
          <w:szCs w:val="22"/>
        </w:rPr>
        <w:t xml:space="preserve">(zejména objemu příjmů ze smluvního výzkumu) </w:t>
      </w:r>
      <w:r w:rsidRPr="00710990">
        <w:rPr>
          <w:rFonts w:ascii="Arial" w:eastAsia="Arial" w:hAnsi="Arial" w:cs="Arial"/>
          <w:sz w:val="22"/>
          <w:szCs w:val="22"/>
        </w:rPr>
        <w:t xml:space="preserve">jako podpora </w:t>
      </w:r>
      <w:r w:rsidR="00C74F74">
        <w:rPr>
          <w:rFonts w:ascii="Arial" w:eastAsia="Arial" w:hAnsi="Arial" w:cs="Arial"/>
          <w:sz w:val="22"/>
          <w:szCs w:val="22"/>
        </w:rPr>
        <w:t xml:space="preserve">ze státních prostředků </w:t>
      </w:r>
      <w:r w:rsidRPr="00710990">
        <w:rPr>
          <w:rFonts w:ascii="Arial" w:eastAsia="Arial" w:hAnsi="Arial" w:cs="Arial"/>
          <w:sz w:val="22"/>
          <w:szCs w:val="22"/>
        </w:rPr>
        <w:t>prostřednictvím Fraunhoferovy společnosti</w:t>
      </w:r>
      <w:r w:rsidR="00C74F74">
        <w:rPr>
          <w:rFonts w:ascii="Arial" w:eastAsia="Arial" w:hAnsi="Arial" w:cs="Arial"/>
          <w:sz w:val="22"/>
          <w:szCs w:val="22"/>
        </w:rPr>
        <w:t xml:space="preserve">. Tento model </w:t>
      </w:r>
      <w:r w:rsidR="00135985">
        <w:rPr>
          <w:rFonts w:ascii="Arial" w:eastAsia="Arial" w:hAnsi="Arial" w:cs="Arial"/>
          <w:sz w:val="22"/>
          <w:szCs w:val="22"/>
        </w:rPr>
        <w:t xml:space="preserve">vznikl v Německu již v roce 1949 a </w:t>
      </w:r>
      <w:r w:rsidR="00C74F74">
        <w:rPr>
          <w:rFonts w:ascii="Arial" w:eastAsia="Arial" w:hAnsi="Arial" w:cs="Arial"/>
          <w:sz w:val="22"/>
          <w:szCs w:val="22"/>
        </w:rPr>
        <w:t xml:space="preserve">ukázal </w:t>
      </w:r>
      <w:r w:rsidR="00135985">
        <w:rPr>
          <w:rFonts w:ascii="Arial" w:eastAsia="Arial" w:hAnsi="Arial" w:cs="Arial"/>
          <w:sz w:val="22"/>
          <w:szCs w:val="22"/>
        </w:rPr>
        <w:t xml:space="preserve">se </w:t>
      </w:r>
      <w:r w:rsidR="00C74F74">
        <w:rPr>
          <w:rFonts w:ascii="Arial" w:eastAsia="Arial" w:hAnsi="Arial" w:cs="Arial"/>
          <w:sz w:val="22"/>
          <w:szCs w:val="22"/>
        </w:rPr>
        <w:t>být silným motivačním nástrojem pro efektivní směrování výzkumu k reálným potřebám ekonomiky.</w:t>
      </w:r>
      <w:r w:rsidR="00C86B36">
        <w:rPr>
          <w:rFonts w:ascii="Arial" w:eastAsia="Arial" w:hAnsi="Arial" w:cs="Arial"/>
          <w:sz w:val="22"/>
          <w:szCs w:val="22"/>
        </w:rPr>
        <w:t xml:space="preserve"> Díky tomu tento model financování center přebraly i některé další země ve svých schématech podpory spolupráce výzkumných center a podnikkové sféry (například Velká Británie v rámci tzv. Catapult Center). </w:t>
      </w:r>
      <w:r w:rsidR="00135985">
        <w:rPr>
          <w:rFonts w:ascii="Arial" w:eastAsia="Arial" w:hAnsi="Arial" w:cs="Arial"/>
          <w:sz w:val="22"/>
          <w:szCs w:val="22"/>
        </w:rPr>
        <w:t xml:space="preserve">Schéma podpory analogické s modelem Fraunhoferovy společnosti (zejména v oblasti modelu financování) doposud v České republice chybí.  </w:t>
      </w:r>
    </w:p>
    <w:p w:rsidR="00135985" w:rsidRDefault="00135985" w:rsidP="00710990">
      <w:pPr>
        <w:spacing w:before="120" w:after="120"/>
        <w:jc w:val="both"/>
        <w:rPr>
          <w:rFonts w:ascii="Arial" w:eastAsia="Arial" w:hAnsi="Arial" w:cs="Arial"/>
          <w:sz w:val="22"/>
          <w:szCs w:val="22"/>
        </w:rPr>
      </w:pPr>
    </w:p>
    <w:sectPr w:rsidR="00135985" w:rsidSect="003416C2">
      <w:footerReference w:type="default" r:id="rId9"/>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287" w:rsidRDefault="00324287">
      <w:r>
        <w:separator/>
      </w:r>
    </w:p>
  </w:endnote>
  <w:endnote w:type="continuationSeparator" w:id="0">
    <w:p w:rsidR="00324287" w:rsidRDefault="0032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4DF" w:rsidRDefault="00C81E56">
    <w:pPr>
      <w:pStyle w:val="Podtitul"/>
      <w:spacing w:after="708"/>
    </w:pPr>
    <w:r>
      <w:rPr>
        <w:sz w:val="22"/>
        <w:szCs w:val="22"/>
      </w:rPr>
      <w:t xml:space="preserve">Stránka </w:t>
    </w:r>
    <w:r w:rsidR="00ED160C">
      <w:fldChar w:fldCharType="begin"/>
    </w:r>
    <w:r>
      <w:instrText>PAGE</w:instrText>
    </w:r>
    <w:r w:rsidR="00ED160C">
      <w:fldChar w:fldCharType="separate"/>
    </w:r>
    <w:r w:rsidR="00F647F8">
      <w:rPr>
        <w:noProof/>
      </w:rPr>
      <w:t>8</w:t>
    </w:r>
    <w:r w:rsidR="00ED160C">
      <w:fldChar w:fldCharType="end"/>
    </w:r>
    <w:r>
      <w:rPr>
        <w:sz w:val="22"/>
        <w:szCs w:val="22"/>
      </w:rPr>
      <w:t xml:space="preserve"> (celkem </w:t>
    </w:r>
    <w:r w:rsidR="00ED160C">
      <w:fldChar w:fldCharType="begin"/>
    </w:r>
    <w:r>
      <w:instrText>NUMPAGES</w:instrText>
    </w:r>
    <w:r w:rsidR="00ED160C">
      <w:fldChar w:fldCharType="separate"/>
    </w:r>
    <w:r w:rsidR="00F647F8">
      <w:rPr>
        <w:noProof/>
      </w:rPr>
      <w:t>12</w:t>
    </w:r>
    <w:r w:rsidR="00ED160C">
      <w:fldChar w:fldCharType="end"/>
    </w:r>
    <w:r>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287" w:rsidRDefault="00324287">
      <w:r>
        <w:separator/>
      </w:r>
    </w:p>
  </w:footnote>
  <w:footnote w:type="continuationSeparator" w:id="0">
    <w:p w:rsidR="00324287" w:rsidRDefault="00324287">
      <w:r>
        <w:continuationSeparator/>
      </w:r>
    </w:p>
  </w:footnote>
  <w:footnote w:id="1">
    <w:p w:rsidR="009C04DF" w:rsidRDefault="00C81E56">
      <w:pPr>
        <w:rPr>
          <w:rFonts w:ascii="Cambria" w:eastAsia="Cambria" w:hAnsi="Cambria" w:cs="Cambria"/>
          <w:sz w:val="18"/>
          <w:szCs w:val="18"/>
        </w:rPr>
      </w:pPr>
      <w:r>
        <w:rPr>
          <w:vertAlign w:val="superscript"/>
        </w:rPr>
        <w:footnoteRef/>
      </w:r>
      <w:r>
        <w:rPr>
          <w:rFonts w:ascii="Cambria" w:eastAsia="Cambria" w:hAnsi="Cambria" w:cs="Cambria"/>
          <w:sz w:val="18"/>
          <w:szCs w:val="18"/>
        </w:rPr>
        <w:t xml:space="preserve"> </w:t>
      </w:r>
      <w:r>
        <w:rPr>
          <w:rFonts w:ascii="Arial" w:eastAsia="Arial" w:hAnsi="Arial" w:cs="Arial"/>
          <w:sz w:val="16"/>
          <w:szCs w:val="16"/>
        </w:rPr>
        <w:t>Následně pak v rámcovém programu pro výzkum a inovace, který nahradí Horizont 2020 od roku 2021.</w:t>
      </w:r>
    </w:p>
  </w:footnote>
  <w:footnote w:id="2">
    <w:p w:rsidR="009C04DF" w:rsidRDefault="00C81E56">
      <w:pPr>
        <w:rPr>
          <w:sz w:val="20"/>
          <w:szCs w:val="20"/>
        </w:rPr>
      </w:pPr>
      <w:r>
        <w:rPr>
          <w:vertAlign w:val="superscript"/>
        </w:rPr>
        <w:footnoteRef/>
      </w:r>
      <w:r>
        <w:rPr>
          <w:sz w:val="20"/>
          <w:szCs w:val="20"/>
        </w:rPr>
        <w:t xml:space="preserve"> </w:t>
      </w:r>
      <w:r>
        <w:rPr>
          <w:rFonts w:ascii="Cambria" w:eastAsia="Cambria" w:hAnsi="Cambria" w:cs="Cambria"/>
          <w:sz w:val="20"/>
          <w:szCs w:val="20"/>
        </w:rPr>
        <w:t>Statistické údaje jsou platné ke dni 23. 5. 2016 na základě dat z IS VaVaI a portálu MŠMT.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1">
    <w:nsid w:val="134D2CBF"/>
    <w:multiLevelType w:val="multilevel"/>
    <w:tmpl w:val="A0B00566"/>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2">
    <w:nsid w:val="4AA90603"/>
    <w:multiLevelType w:val="multilevel"/>
    <w:tmpl w:val="A5A4FC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4E3B69B9"/>
    <w:multiLevelType w:val="multilevel"/>
    <w:tmpl w:val="3998E3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5E91302D"/>
    <w:multiLevelType w:val="multilevel"/>
    <w:tmpl w:val="E1ECA892"/>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num w:numId="1">
    <w:abstractNumId w:val="0"/>
  </w:num>
  <w:num w:numId="2">
    <w:abstractNumId w:val="1"/>
  </w:num>
  <w:num w:numId="3">
    <w:abstractNumId w:val="2"/>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k">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4DF"/>
    <w:rsid w:val="000039AE"/>
    <w:rsid w:val="00020A0F"/>
    <w:rsid w:val="00047511"/>
    <w:rsid w:val="00093A83"/>
    <w:rsid w:val="000A0053"/>
    <w:rsid w:val="000B16CB"/>
    <w:rsid w:val="000E0EF3"/>
    <w:rsid w:val="000E5AF9"/>
    <w:rsid w:val="000F4054"/>
    <w:rsid w:val="000F579F"/>
    <w:rsid w:val="0013473B"/>
    <w:rsid w:val="00135985"/>
    <w:rsid w:val="00177924"/>
    <w:rsid w:val="001865EB"/>
    <w:rsid w:val="001B3709"/>
    <w:rsid w:val="001B44F9"/>
    <w:rsid w:val="001F3F86"/>
    <w:rsid w:val="00202F96"/>
    <w:rsid w:val="002357E3"/>
    <w:rsid w:val="002A532E"/>
    <w:rsid w:val="002B0DF9"/>
    <w:rsid w:val="002C6D15"/>
    <w:rsid w:val="00314A68"/>
    <w:rsid w:val="00324287"/>
    <w:rsid w:val="00340AB8"/>
    <w:rsid w:val="003416C2"/>
    <w:rsid w:val="00352C86"/>
    <w:rsid w:val="00355F3B"/>
    <w:rsid w:val="0036175A"/>
    <w:rsid w:val="00363D10"/>
    <w:rsid w:val="00363E99"/>
    <w:rsid w:val="003671BC"/>
    <w:rsid w:val="003705C7"/>
    <w:rsid w:val="003D376D"/>
    <w:rsid w:val="003F2A8E"/>
    <w:rsid w:val="003F311D"/>
    <w:rsid w:val="00471820"/>
    <w:rsid w:val="004774F6"/>
    <w:rsid w:val="004A1493"/>
    <w:rsid w:val="004E125F"/>
    <w:rsid w:val="0052351E"/>
    <w:rsid w:val="005276A3"/>
    <w:rsid w:val="005377BD"/>
    <w:rsid w:val="00552ABF"/>
    <w:rsid w:val="00557F90"/>
    <w:rsid w:val="00566C33"/>
    <w:rsid w:val="00574D55"/>
    <w:rsid w:val="00584428"/>
    <w:rsid w:val="005B65AA"/>
    <w:rsid w:val="005C383C"/>
    <w:rsid w:val="005F2011"/>
    <w:rsid w:val="00663377"/>
    <w:rsid w:val="00665AD8"/>
    <w:rsid w:val="00677011"/>
    <w:rsid w:val="006833D3"/>
    <w:rsid w:val="00691F33"/>
    <w:rsid w:val="00693469"/>
    <w:rsid w:val="006956C3"/>
    <w:rsid w:val="006F2251"/>
    <w:rsid w:val="00710990"/>
    <w:rsid w:val="00720E1E"/>
    <w:rsid w:val="00723790"/>
    <w:rsid w:val="00730576"/>
    <w:rsid w:val="00783AB7"/>
    <w:rsid w:val="007E505C"/>
    <w:rsid w:val="00810920"/>
    <w:rsid w:val="00836417"/>
    <w:rsid w:val="00841F72"/>
    <w:rsid w:val="008606C3"/>
    <w:rsid w:val="00883658"/>
    <w:rsid w:val="008B097E"/>
    <w:rsid w:val="008F2E55"/>
    <w:rsid w:val="009001F4"/>
    <w:rsid w:val="00900813"/>
    <w:rsid w:val="00914538"/>
    <w:rsid w:val="00926690"/>
    <w:rsid w:val="0094342E"/>
    <w:rsid w:val="0095286C"/>
    <w:rsid w:val="009605AF"/>
    <w:rsid w:val="009702F8"/>
    <w:rsid w:val="00985109"/>
    <w:rsid w:val="009C04DF"/>
    <w:rsid w:val="00A724E1"/>
    <w:rsid w:val="00A90925"/>
    <w:rsid w:val="00AC62F7"/>
    <w:rsid w:val="00B00249"/>
    <w:rsid w:val="00B335CE"/>
    <w:rsid w:val="00B81ABF"/>
    <w:rsid w:val="00B8561D"/>
    <w:rsid w:val="00BA709E"/>
    <w:rsid w:val="00BB3E53"/>
    <w:rsid w:val="00BC5875"/>
    <w:rsid w:val="00C02672"/>
    <w:rsid w:val="00C61F91"/>
    <w:rsid w:val="00C74F74"/>
    <w:rsid w:val="00C81E56"/>
    <w:rsid w:val="00C84B45"/>
    <w:rsid w:val="00C86B36"/>
    <w:rsid w:val="00CB58C4"/>
    <w:rsid w:val="00CC5BE7"/>
    <w:rsid w:val="00CE0180"/>
    <w:rsid w:val="00CE5476"/>
    <w:rsid w:val="00D36AE4"/>
    <w:rsid w:val="00DA5FB1"/>
    <w:rsid w:val="00DC03D3"/>
    <w:rsid w:val="00DC5239"/>
    <w:rsid w:val="00DF3B3E"/>
    <w:rsid w:val="00E11F09"/>
    <w:rsid w:val="00E1797C"/>
    <w:rsid w:val="00E17B10"/>
    <w:rsid w:val="00E42255"/>
    <w:rsid w:val="00EA0F6E"/>
    <w:rsid w:val="00EA4D80"/>
    <w:rsid w:val="00EC7C43"/>
    <w:rsid w:val="00ED160C"/>
    <w:rsid w:val="00ED4D19"/>
    <w:rsid w:val="00F06929"/>
    <w:rsid w:val="00F2744A"/>
    <w:rsid w:val="00F647F8"/>
    <w:rsid w:val="00F7052F"/>
    <w:rsid w:val="00F92455"/>
    <w:rsid w:val="00FC569F"/>
    <w:rsid w:val="00FF57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1"/>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1"/>
    <w:pPr>
      <w:contextualSpacing/>
    </w:pPr>
    <w:tblPr>
      <w:tblStyleRowBandSize w:val="1"/>
      <w:tblStyleColBandSize w:val="1"/>
      <w:tblCellMar>
        <w:left w:w="28" w:type="dxa"/>
        <w:right w:w="28"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1"/>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40AB8"/>
    <w:rPr>
      <w:rFonts w:ascii="Tahoma" w:hAnsi="Tahoma" w:cs="Tahoma"/>
      <w:sz w:val="16"/>
      <w:szCs w:val="16"/>
    </w:rPr>
  </w:style>
  <w:style w:type="character" w:customStyle="1" w:styleId="TextbublinyChar">
    <w:name w:val="Text bubliny Char"/>
    <w:basedOn w:val="Standardnpsmoodstavce"/>
    <w:link w:val="Textbubliny"/>
    <w:uiPriority w:val="99"/>
    <w:semiHidden/>
    <w:rsid w:val="00340AB8"/>
    <w:rPr>
      <w:rFonts w:ascii="Tahoma" w:hAnsi="Tahoma" w:cs="Tahoma"/>
      <w:sz w:val="16"/>
      <w:szCs w:val="16"/>
    </w:rPr>
  </w:style>
  <w:style w:type="paragraph" w:styleId="Revize">
    <w:name w:val="Revision"/>
    <w:hidden/>
    <w:uiPriority w:val="99"/>
    <w:semiHidden/>
    <w:rsid w:val="00552ABF"/>
    <w:pPr>
      <w:widowControl/>
    </w:pPr>
  </w:style>
  <w:style w:type="paragraph" w:styleId="Pedmtkomente">
    <w:name w:val="annotation subject"/>
    <w:basedOn w:val="Textkomente"/>
    <w:next w:val="Textkomente"/>
    <w:link w:val="PedmtkomenteChar"/>
    <w:uiPriority w:val="99"/>
    <w:semiHidden/>
    <w:unhideWhenUsed/>
    <w:rsid w:val="00FC569F"/>
    <w:rPr>
      <w:b/>
      <w:bCs/>
    </w:rPr>
  </w:style>
  <w:style w:type="character" w:customStyle="1" w:styleId="PedmtkomenteChar">
    <w:name w:val="Předmět komentáře Char"/>
    <w:basedOn w:val="TextkomenteChar"/>
    <w:link w:val="Pedmtkomente"/>
    <w:uiPriority w:val="99"/>
    <w:semiHidden/>
    <w:rsid w:val="00FC569F"/>
    <w:rPr>
      <w:b/>
      <w:bCs/>
      <w:sz w:val="20"/>
      <w:szCs w:val="20"/>
    </w:rPr>
  </w:style>
  <w:style w:type="character" w:styleId="Hypertextovodkaz">
    <w:name w:val="Hyperlink"/>
    <w:basedOn w:val="Standardnpsmoodstavce"/>
    <w:uiPriority w:val="99"/>
    <w:unhideWhenUsed/>
    <w:rsid w:val="001359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1"/>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1"/>
    <w:pPr>
      <w:contextualSpacing/>
    </w:pPr>
    <w:tblPr>
      <w:tblStyleRowBandSize w:val="1"/>
      <w:tblStyleColBandSize w:val="1"/>
      <w:tblCellMar>
        <w:left w:w="28" w:type="dxa"/>
        <w:right w:w="28"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1"/>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40AB8"/>
    <w:rPr>
      <w:rFonts w:ascii="Tahoma" w:hAnsi="Tahoma" w:cs="Tahoma"/>
      <w:sz w:val="16"/>
      <w:szCs w:val="16"/>
    </w:rPr>
  </w:style>
  <w:style w:type="character" w:customStyle="1" w:styleId="TextbublinyChar">
    <w:name w:val="Text bubliny Char"/>
    <w:basedOn w:val="Standardnpsmoodstavce"/>
    <w:link w:val="Textbubliny"/>
    <w:uiPriority w:val="99"/>
    <w:semiHidden/>
    <w:rsid w:val="00340AB8"/>
    <w:rPr>
      <w:rFonts w:ascii="Tahoma" w:hAnsi="Tahoma" w:cs="Tahoma"/>
      <w:sz w:val="16"/>
      <w:szCs w:val="16"/>
    </w:rPr>
  </w:style>
  <w:style w:type="paragraph" w:styleId="Revize">
    <w:name w:val="Revision"/>
    <w:hidden/>
    <w:uiPriority w:val="99"/>
    <w:semiHidden/>
    <w:rsid w:val="00552ABF"/>
    <w:pPr>
      <w:widowControl/>
    </w:pPr>
  </w:style>
  <w:style w:type="paragraph" w:styleId="Pedmtkomente">
    <w:name w:val="annotation subject"/>
    <w:basedOn w:val="Textkomente"/>
    <w:next w:val="Textkomente"/>
    <w:link w:val="PedmtkomenteChar"/>
    <w:uiPriority w:val="99"/>
    <w:semiHidden/>
    <w:unhideWhenUsed/>
    <w:rsid w:val="00FC569F"/>
    <w:rPr>
      <w:b/>
      <w:bCs/>
    </w:rPr>
  </w:style>
  <w:style w:type="character" w:customStyle="1" w:styleId="PedmtkomenteChar">
    <w:name w:val="Předmět komentáře Char"/>
    <w:basedOn w:val="TextkomenteChar"/>
    <w:link w:val="Pedmtkomente"/>
    <w:uiPriority w:val="99"/>
    <w:semiHidden/>
    <w:rsid w:val="00FC569F"/>
    <w:rPr>
      <w:b/>
      <w:bCs/>
      <w:sz w:val="20"/>
      <w:szCs w:val="20"/>
    </w:rPr>
  </w:style>
  <w:style w:type="character" w:styleId="Hypertextovodkaz">
    <w:name w:val="Hyperlink"/>
    <w:basedOn w:val="Standardnpsmoodstavce"/>
    <w:uiPriority w:val="99"/>
    <w:unhideWhenUsed/>
    <w:rsid w:val="001359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aftie.org/sites/default/files/Taftie_TF_CompAct_Final_Report%20_LV.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5202</Words>
  <Characters>30697</Characters>
  <Application>Microsoft Office Word</Application>
  <DocSecurity>0</DocSecurity>
  <Lines>255</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Oci</dc:creator>
  <cp:lastModifiedBy>Petr Očko</cp:lastModifiedBy>
  <cp:revision>2</cp:revision>
  <dcterms:created xsi:type="dcterms:W3CDTF">2017-04-26T09:13:00Z</dcterms:created>
  <dcterms:modified xsi:type="dcterms:W3CDTF">2017-04-26T09:13:00Z</dcterms:modified>
</cp:coreProperties>
</file>